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A9741B">
      <w:pPr>
        <w:snapToGrid w:val="0"/>
        <w:spacing w:line="360" w:lineRule="exact"/>
        <w:rPr>
          <w:rFonts w:hint="eastAsia" w:ascii="宋体" w:hAnsi="宋体"/>
          <w:b/>
          <w:color w:val="auto"/>
          <w:sz w:val="18"/>
          <w:szCs w:val="16"/>
          <w:highlight w:val="none"/>
        </w:rPr>
      </w:pPr>
      <w:r>
        <w:rPr>
          <w:rFonts w:hint="eastAsia" w:ascii="宋体" w:hAnsi="宋体"/>
          <w:b/>
          <w:color w:val="auto"/>
          <w:sz w:val="18"/>
          <w:szCs w:val="16"/>
          <w:highlight w:val="none"/>
        </w:rPr>
        <w:t>ICS</w:t>
      </w:r>
    </w:p>
    <w:p w14:paraId="62BF3472">
      <w:pPr>
        <w:tabs>
          <w:tab w:val="left" w:pos="7455"/>
        </w:tabs>
        <w:snapToGrid w:val="0"/>
        <w:spacing w:line="360" w:lineRule="exact"/>
        <w:rPr>
          <w:rFonts w:hint="eastAsia" w:ascii="宋体" w:hAnsi="宋体"/>
          <w:b/>
          <w:color w:val="auto"/>
          <w:sz w:val="18"/>
          <w:szCs w:val="16"/>
          <w:highlight w:val="none"/>
        </w:rPr>
      </w:pPr>
      <w:r>
        <w:rPr>
          <w:rFonts w:ascii="宋体" w:hAnsi="宋体"/>
          <w:b/>
          <w:color w:val="auto"/>
          <w:sz w:val="18"/>
          <w:szCs w:val="16"/>
          <w:highlight w:val="none"/>
        </w:rPr>
        <w:t>中CCS</w:t>
      </w:r>
    </w:p>
    <w:p w14:paraId="015194E6">
      <w:pPr>
        <w:snapToGrid w:val="0"/>
        <w:spacing w:before="312" w:beforeLines="100" w:after="156" w:afterLines="50"/>
        <w:jc w:val="center"/>
        <w:rPr>
          <w:rFonts w:hint="eastAsia" w:ascii="黑体" w:hAnsi="黑体" w:eastAsia="黑体"/>
          <w:b/>
          <w:color w:val="auto"/>
          <w:sz w:val="40"/>
          <w:szCs w:val="40"/>
          <w:highlight w:val="none"/>
        </w:rPr>
      </w:pPr>
      <w:r>
        <w:rPr>
          <w:rFonts w:hint="eastAsia" w:ascii="黑体" w:hAnsi="黑体" w:eastAsia="黑体"/>
          <w:b/>
          <w:color w:val="auto"/>
          <w:sz w:val="40"/>
          <w:szCs w:val="40"/>
          <w:highlight w:val="none"/>
        </w:rPr>
        <w:t>中国石油和化工勘察设计协会团体标准</w:t>
      </w:r>
    </w:p>
    <w:p w14:paraId="01EAB305">
      <w:pPr>
        <w:tabs>
          <w:tab w:val="left" w:pos="9027"/>
        </w:tabs>
        <w:ind w:right="-2" w:rightChars="-1"/>
        <w:jc w:val="right"/>
        <w:rPr>
          <w:rFonts w:hint="eastAsia"/>
          <w:b/>
          <w:color w:val="auto"/>
          <w:sz w:val="24"/>
          <w:szCs w:val="24"/>
          <w:highlight w:val="none"/>
        </w:rPr>
      </w:pPr>
      <w:r>
        <w:rPr>
          <w:rFonts w:hint="eastAsia"/>
          <w:b/>
          <w:color w:val="auto"/>
          <w:sz w:val="24"/>
          <w:szCs w:val="24"/>
          <w:highlight w:val="none"/>
        </w:rPr>
        <w:t>T/HGJ XXXXX-YYYY</w:t>
      </w:r>
    </w:p>
    <w:p w14:paraId="49E2F957">
      <w:pPr>
        <w:snapToGrid w:val="0"/>
        <w:spacing w:before="624" w:beforeLines="200"/>
        <w:jc w:val="center"/>
        <w:rPr>
          <w:rFonts w:hint="eastAsia"/>
          <w:b/>
          <w:color w:val="auto"/>
          <w:sz w:val="36"/>
          <w:szCs w:val="36"/>
          <w:highlight w:val="none"/>
          <w:lang w:val="en-US" w:eastAsia="zh-CN"/>
        </w:rPr>
      </w:pPr>
      <w:r>
        <w:rPr>
          <w:b/>
          <w:color w:val="FF0000"/>
          <w:sz w:val="24"/>
          <w:szCs w:val="24"/>
          <w:highlight w:val="none"/>
        </w:rPr>
        <w:br w:type="textWrapping" w:clear="all"/>
      </w:r>
      <w:r>
        <w:rPr>
          <w:rFonts w:hint="default"/>
          <w:b/>
          <w:color w:val="auto"/>
          <w:sz w:val="36"/>
          <w:szCs w:val="36"/>
          <w:highlight w:val="none"/>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734050" cy="0"/>
                <wp:effectExtent l="0" t="9525" r="11430" b="13335"/>
                <wp:wrapNone/>
                <wp:docPr id="5" name="直接连接符 5"/>
                <wp:cNvGraphicFramePr/>
                <a:graphic xmlns:a="http://schemas.openxmlformats.org/drawingml/2006/main">
                  <a:graphicData uri="http://schemas.microsoft.com/office/word/2010/wordprocessingShape">
                    <wps:wsp>
                      <wps:cNvCnPr/>
                      <wps:spPr>
                        <a:xfrm flipH="1" flipV="1">
                          <a:off x="0" y="0"/>
                          <a:ext cx="573405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 y;margin-left:0pt;margin-top:0pt;height:0pt;width:451.5pt;z-index:251659264;mso-width-relative:page;mso-height-relative:page;" filled="f" stroked="t" coordsize="21600,21600" o:gfxdata="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o4dGfOAAAAAgEAAA8AAAAAAAAAAQAgAAAAIgAAAGRycy9kb3ducmV2LnhtbFBL&#10;AQIUABQAAAAIAIdO4kBLz2X/AAIAAPkDAAAOAAAAAAAAAAEAIAAAAB0BAABkcnMvZTJvRG9jLnht&#10;bFBLBQYAAAAABgAGAFkBAACPBQAAAAA=&#10;">
                <v:fill on="f" focussize="0,0"/>
                <v:stroke weight="1.5pt" color="#000000" joinstyle="round"/>
                <v:imagedata o:title=""/>
                <o:lock v:ext="edit" aspectratio="f"/>
              </v:line>
            </w:pict>
          </mc:Fallback>
        </mc:AlternateContent>
      </w:r>
      <w:r>
        <w:rPr>
          <w:rFonts w:hint="eastAsia"/>
          <w:b/>
          <w:color w:val="auto"/>
          <w:sz w:val="36"/>
          <w:szCs w:val="36"/>
          <w:highlight w:val="none"/>
          <w:lang w:val="en-US" w:eastAsia="zh-CN"/>
        </w:rPr>
        <w:t>预制桩植桩应用技术规范</w:t>
      </w:r>
    </w:p>
    <w:p w14:paraId="519DE1CD">
      <w:pPr>
        <w:snapToGrid w:val="0"/>
        <w:spacing w:before="0" w:beforeLines="0"/>
        <w:jc w:val="center"/>
        <w:rPr>
          <w:rFonts w:hint="default"/>
          <w:b/>
          <w:color w:val="auto"/>
          <w:sz w:val="36"/>
          <w:szCs w:val="36"/>
          <w:highlight w:val="none"/>
          <w:lang w:val="en-US" w:eastAsia="zh-CN"/>
        </w:rPr>
      </w:pPr>
      <w:r>
        <w:rPr>
          <w:rFonts w:hint="eastAsia"/>
          <w:b/>
          <w:color w:val="auto"/>
          <w:sz w:val="36"/>
          <w:szCs w:val="36"/>
          <w:highlight w:val="none"/>
          <w:lang w:val="en-US" w:eastAsia="zh-CN"/>
        </w:rPr>
        <w:t>（征求意见稿）</w:t>
      </w:r>
    </w:p>
    <w:p w14:paraId="2A5A0DFB">
      <w:pPr>
        <w:keepNext w:val="0"/>
        <w:keepLines w:val="0"/>
        <w:pageBreakBefore w:val="0"/>
        <w:widowControl w:val="0"/>
        <w:kinsoku/>
        <w:wordWrap/>
        <w:overflowPunct/>
        <w:topLinePunct w:val="0"/>
        <w:autoSpaceDE/>
        <w:autoSpaceDN/>
        <w:bidi w:val="0"/>
        <w:adjustRightInd/>
        <w:snapToGrid w:val="0"/>
        <w:spacing w:before="0" w:beforeLines="0" w:after="2185" w:afterLines="700"/>
        <w:jc w:val="center"/>
        <w:textAlignment w:val="auto"/>
        <w:rPr>
          <w:rFonts w:hint="eastAsia" w:ascii="Elephant"/>
          <w:b/>
          <w:color w:val="auto"/>
          <w:sz w:val="24"/>
          <w:szCs w:val="24"/>
          <w:highlight w:val="none"/>
        </w:rPr>
      </w:pPr>
      <w:r>
        <w:rPr>
          <w:rFonts w:hint="eastAsia" w:ascii="Times New Roman" w:hAnsi="Times New Roman" w:cs="Times New Roman"/>
          <w:b/>
          <w:color w:val="auto"/>
          <w:sz w:val="24"/>
          <w:szCs w:val="24"/>
          <w:highlight w:val="none"/>
        </w:rPr>
        <w:t>Technical specifications for the application of prefabricated pile planting</w:t>
      </w:r>
    </w:p>
    <w:p w14:paraId="1F014A10">
      <w:pPr>
        <w:snapToGrid w:val="0"/>
        <w:jc w:val="center"/>
        <w:rPr>
          <w:rFonts w:hint="eastAsia" w:ascii="Elephant"/>
          <w:b/>
          <w:color w:val="auto"/>
          <w:sz w:val="24"/>
          <w:szCs w:val="24"/>
          <w:highlight w:val="none"/>
        </w:rPr>
      </w:pPr>
      <w:r>
        <w:rPr>
          <w:rFonts w:hint="eastAsia"/>
          <w:b/>
          <w:color w:val="auto"/>
          <w:sz w:val="24"/>
          <w:szCs w:val="24"/>
          <w:highlight w:val="none"/>
        </w:rPr>
        <w:t>20</w:t>
      </w:r>
      <w:r>
        <w:rPr>
          <w:rFonts w:hint="eastAsia"/>
          <w:b/>
          <w:color w:val="auto"/>
          <w:sz w:val="24"/>
          <w:szCs w:val="24"/>
          <w:highlight w:val="none"/>
          <w:lang w:val="en-US" w:eastAsia="zh-CN"/>
        </w:rPr>
        <w:t>25</w:t>
      </w:r>
      <w:r>
        <w:rPr>
          <w:rFonts w:hint="eastAsia"/>
          <w:b/>
          <w:color w:val="auto"/>
          <w:sz w:val="24"/>
          <w:szCs w:val="24"/>
          <w:highlight w:val="none"/>
        </w:rPr>
        <w:t>-</w:t>
      </w:r>
      <w:r>
        <w:rPr>
          <w:rFonts w:hint="eastAsia"/>
          <w:b/>
          <w:color w:val="auto"/>
          <w:sz w:val="24"/>
          <w:szCs w:val="24"/>
          <w:highlight w:val="none"/>
          <w:lang w:val="en-US" w:eastAsia="zh-CN"/>
        </w:rPr>
        <w:t>**</w:t>
      </w:r>
      <w:r>
        <w:rPr>
          <w:rFonts w:hint="eastAsia"/>
          <w:b/>
          <w:color w:val="auto"/>
          <w:sz w:val="24"/>
          <w:szCs w:val="24"/>
          <w:highlight w:val="none"/>
        </w:rPr>
        <w:t>-</w:t>
      </w:r>
      <w:r>
        <w:rPr>
          <w:rFonts w:hint="eastAsia"/>
          <w:b/>
          <w:color w:val="auto"/>
          <w:sz w:val="24"/>
          <w:szCs w:val="24"/>
          <w:highlight w:val="none"/>
          <w:lang w:val="en-US" w:eastAsia="zh-CN"/>
        </w:rPr>
        <w:t>**</w:t>
      </w:r>
      <w:r>
        <w:rPr>
          <w:rFonts w:hint="eastAsia" w:ascii="黑体" w:hAnsi="黑体" w:eastAsia="黑体"/>
          <w:b/>
          <w:color w:val="auto"/>
          <w:sz w:val="24"/>
          <w:szCs w:val="24"/>
          <w:highlight w:val="none"/>
        </w:rPr>
        <w:t>发布</w:t>
      </w:r>
      <w:r>
        <w:rPr>
          <w:rFonts w:hint="eastAsia" w:ascii="Elephant"/>
          <w:b/>
          <w:color w:val="auto"/>
          <w:sz w:val="24"/>
          <w:szCs w:val="24"/>
          <w:highlight w:val="none"/>
        </w:rPr>
        <w:tab/>
      </w:r>
      <w:r>
        <w:rPr>
          <w:rFonts w:hint="eastAsia" w:ascii="Elephant"/>
          <w:b/>
          <w:color w:val="auto"/>
          <w:sz w:val="24"/>
          <w:szCs w:val="24"/>
          <w:highlight w:val="none"/>
          <w:lang w:val="en-US" w:eastAsia="zh-CN"/>
        </w:rPr>
        <w:t xml:space="preserve"> </w:t>
      </w:r>
      <w:r>
        <w:rPr>
          <w:rFonts w:hint="eastAsia" w:ascii="Elephant"/>
          <w:b/>
          <w:color w:val="auto"/>
          <w:sz w:val="24"/>
          <w:szCs w:val="24"/>
          <w:highlight w:val="none"/>
        </w:rPr>
        <w:tab/>
      </w:r>
      <w:r>
        <w:rPr>
          <w:rFonts w:hint="eastAsia" w:ascii="Elephant"/>
          <w:b/>
          <w:color w:val="auto"/>
          <w:sz w:val="24"/>
          <w:szCs w:val="24"/>
          <w:highlight w:val="none"/>
        </w:rPr>
        <w:tab/>
      </w:r>
      <w:r>
        <w:rPr>
          <w:rFonts w:hint="eastAsia" w:ascii="Elephant"/>
          <w:b/>
          <w:color w:val="auto"/>
          <w:sz w:val="24"/>
          <w:szCs w:val="24"/>
          <w:highlight w:val="none"/>
          <w:lang w:val="en-US" w:eastAsia="zh-CN"/>
        </w:rPr>
        <w:t xml:space="preserve">          </w:t>
      </w:r>
      <w:r>
        <w:rPr>
          <w:rFonts w:hint="eastAsia" w:ascii="Elephant"/>
          <w:b/>
          <w:color w:val="auto"/>
          <w:sz w:val="24"/>
          <w:szCs w:val="24"/>
          <w:highlight w:val="none"/>
        </w:rPr>
        <w:tab/>
      </w:r>
      <w:r>
        <w:rPr>
          <w:rFonts w:hint="eastAsia"/>
          <w:b/>
          <w:color w:val="auto"/>
          <w:sz w:val="24"/>
          <w:szCs w:val="24"/>
          <w:highlight w:val="none"/>
        </w:rPr>
        <w:t>20</w:t>
      </w:r>
      <w:r>
        <w:rPr>
          <w:rFonts w:hint="eastAsia"/>
          <w:b/>
          <w:color w:val="auto"/>
          <w:sz w:val="24"/>
          <w:szCs w:val="24"/>
          <w:highlight w:val="none"/>
          <w:lang w:val="en-US" w:eastAsia="zh-CN"/>
        </w:rPr>
        <w:t>25</w:t>
      </w:r>
      <w:r>
        <w:rPr>
          <w:rFonts w:hint="eastAsia"/>
          <w:b/>
          <w:color w:val="auto"/>
          <w:sz w:val="24"/>
          <w:szCs w:val="24"/>
          <w:highlight w:val="none"/>
        </w:rPr>
        <w:t>-</w:t>
      </w:r>
      <w:r>
        <w:rPr>
          <w:rFonts w:hint="eastAsia"/>
          <w:b/>
          <w:color w:val="auto"/>
          <w:sz w:val="24"/>
          <w:szCs w:val="24"/>
          <w:highlight w:val="none"/>
          <w:lang w:val="en-US" w:eastAsia="zh-CN"/>
        </w:rPr>
        <w:t>**</w:t>
      </w:r>
      <w:r>
        <w:rPr>
          <w:rFonts w:hint="eastAsia"/>
          <w:b/>
          <w:color w:val="auto"/>
          <w:sz w:val="24"/>
          <w:szCs w:val="24"/>
          <w:highlight w:val="none"/>
        </w:rPr>
        <w:t>-</w:t>
      </w:r>
      <w:r>
        <w:rPr>
          <w:rFonts w:hint="eastAsia"/>
          <w:b/>
          <w:color w:val="auto"/>
          <w:sz w:val="24"/>
          <w:szCs w:val="24"/>
          <w:highlight w:val="none"/>
          <w:lang w:val="en-US" w:eastAsia="zh-CN"/>
        </w:rPr>
        <w:t>**</w:t>
      </w:r>
      <w:r>
        <w:rPr>
          <w:rFonts w:hint="eastAsia" w:ascii="黑体" w:hAnsi="黑体" w:eastAsia="黑体"/>
          <w:b/>
          <w:color w:val="auto"/>
          <w:sz w:val="24"/>
          <w:szCs w:val="24"/>
          <w:highlight w:val="none"/>
        </w:rPr>
        <w:t>实施</w:t>
      </w:r>
    </w:p>
    <w:p w14:paraId="2E0D0E6F">
      <w:pPr>
        <w:snapToGrid w:val="0"/>
        <w:spacing w:before="312" w:beforeLines="100" w:after="312" w:afterLines="100"/>
        <w:rPr>
          <w:rFonts w:hint="eastAsia" w:ascii="Elephant" w:hAnsi="Elephant"/>
          <w:b/>
          <w:color w:val="auto"/>
          <w:sz w:val="24"/>
          <w:szCs w:val="24"/>
          <w:highlight w:val="none"/>
        </w:rPr>
      </w:pPr>
      <w:r>
        <w:rPr>
          <w:rFonts w:hint="eastAsia" w:ascii="Elephant" w:hAnsi="Elephant"/>
          <w:b/>
          <w:color w:val="auto"/>
          <w:sz w:val="24"/>
          <w:szCs w:val="24"/>
          <w:highlight w:val="none"/>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137160</wp:posOffset>
                </wp:positionV>
                <wp:extent cx="5734050" cy="0"/>
                <wp:effectExtent l="0" t="9525" r="11430" b="13335"/>
                <wp:wrapNone/>
                <wp:docPr id="6" name="直接连接符 6"/>
                <wp:cNvGraphicFramePr/>
                <a:graphic xmlns:a="http://schemas.openxmlformats.org/drawingml/2006/main">
                  <a:graphicData uri="http://schemas.microsoft.com/office/word/2010/wordprocessingShape">
                    <wps:wsp>
                      <wps:cNvCnPr/>
                      <wps:spPr>
                        <a:xfrm flipH="1" flipV="1">
                          <a:off x="0" y="0"/>
                          <a:ext cx="573405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 y;margin-left:0pt;margin-top:10.8pt;height:0pt;width:451.5pt;z-index:251660288;mso-width-relative:page;mso-height-relative:page;" filled="f" stroked="t" coordsize="21600,21600" o:gfxdata="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giSmdAAAAAGAQAADwAAAAAAAAABACAAAAAiAAAAZHJzL2Rvd25yZXYueG1s&#10;UEsBAhQAFAAAAAgAh07iQN1xMR8AAgAA+QMAAA4AAAAAAAAAAQAgAAAAHwEAAGRycy9lMm9Eb2Mu&#10;eG1sUEsFBgAAAAAGAAYAWQEAAJEFAAAAAA==&#10;">
                <v:fill on="f" focussize="0,0"/>
                <v:stroke weight="1.5pt" color="#000000" joinstyle="round"/>
                <v:imagedata o:title=""/>
                <o:lock v:ext="edit" aspectratio="f"/>
              </v:line>
            </w:pict>
          </mc:Fallback>
        </mc:AlternateContent>
      </w:r>
    </w:p>
    <w:p w14:paraId="46A75AB6">
      <w:pPr>
        <w:snapToGrid w:val="0"/>
        <w:jc w:val="center"/>
        <w:rPr>
          <w:rFonts w:hint="eastAsia" w:ascii="黑体" w:hAnsi="黑体" w:eastAsia="黑体"/>
          <w:b/>
          <w:color w:val="auto"/>
          <w:sz w:val="24"/>
          <w:szCs w:val="24"/>
          <w:highlight w:val="none"/>
        </w:rPr>
        <w:sectPr>
          <w:footerReference r:id="rId3" w:type="default"/>
          <w:pgSz w:w="7938" w:h="11510"/>
          <w:pgMar w:top="1418" w:right="1021" w:bottom="1134" w:left="1021" w:header="851" w:footer="851" w:gutter="0"/>
          <w:pgBorders>
            <w:top w:val="none" w:sz="0" w:space="0"/>
            <w:left w:val="none" w:sz="0" w:space="0"/>
            <w:bottom w:val="none" w:sz="0" w:space="0"/>
            <w:right w:val="none" w:sz="0" w:space="0"/>
          </w:pgBorders>
          <w:pgNumType w:start="1"/>
          <w:cols w:space="720" w:num="1"/>
          <w:docGrid w:type="lines" w:linePitch="312" w:charSpace="0"/>
        </w:sectPr>
      </w:pPr>
      <w:r>
        <w:rPr>
          <w:rFonts w:hint="eastAsia" w:ascii="黑体" w:hAnsi="黑体" w:eastAsia="黑体"/>
          <w:b/>
          <w:color w:val="auto"/>
          <w:sz w:val="24"/>
          <w:szCs w:val="24"/>
          <w:highlight w:val="none"/>
        </w:rPr>
        <w:t>中国石油和化工勘察设计协会发布</w:t>
      </w:r>
    </w:p>
    <w:p w14:paraId="1F38D586">
      <w:pPr>
        <w:jc w:val="center"/>
        <w:rPr>
          <w:rFonts w:eastAsia="黑体"/>
          <w:b/>
          <w:sz w:val="28"/>
          <w:szCs w:val="28"/>
          <w:highlight w:val="none"/>
        </w:rPr>
      </w:pPr>
      <w:r>
        <w:rPr>
          <w:rFonts w:eastAsia="黑体"/>
          <w:b/>
          <w:sz w:val="28"/>
          <w:szCs w:val="28"/>
          <w:highlight w:val="none"/>
        </w:rPr>
        <w:t>前    言</w:t>
      </w:r>
    </w:p>
    <w:p w14:paraId="2CC44EDB">
      <w:pPr>
        <w:jc w:val="center"/>
        <w:rPr>
          <w:rFonts w:eastAsia="黑体"/>
          <w:szCs w:val="21"/>
          <w:highlight w:val="none"/>
        </w:rPr>
      </w:pPr>
    </w:p>
    <w:p w14:paraId="3D40B462">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cs="宋体"/>
          <w:szCs w:val="21"/>
          <w:highlight w:val="none"/>
        </w:rPr>
      </w:pPr>
      <w:r>
        <w:rPr>
          <w:rFonts w:hint="eastAsia" w:ascii="宋体" w:hAnsi="宋体" w:cs="宋体"/>
          <w:szCs w:val="21"/>
          <w:highlight w:val="none"/>
        </w:rPr>
        <w:t>根据中国石油与化工勘察设计协会《关于印发2024年第1批协会团体标准制修订计划的通知》(中石化勘设协[2024]14号)的要求，规范编制组经广泛调查研究，认真总结实践经验，参考国内</w:t>
      </w:r>
      <w:r>
        <w:rPr>
          <w:rFonts w:hint="eastAsia" w:ascii="宋体" w:hAnsi="宋体" w:cs="宋体"/>
          <w:szCs w:val="21"/>
          <w:highlight w:val="none"/>
          <w:lang w:val="en-US" w:eastAsia="zh-CN"/>
        </w:rPr>
        <w:t>相关</w:t>
      </w:r>
      <w:r>
        <w:rPr>
          <w:rFonts w:hint="eastAsia" w:ascii="宋体" w:hAnsi="宋体" w:cs="宋体"/>
          <w:szCs w:val="21"/>
          <w:highlight w:val="none"/>
        </w:rPr>
        <w:t>先进标准，并在广泛征求意见的基础上，编制本规范。</w:t>
      </w:r>
    </w:p>
    <w:p w14:paraId="413DA361">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cs="宋体"/>
          <w:szCs w:val="21"/>
          <w:highlight w:val="none"/>
        </w:rPr>
      </w:pPr>
      <w:r>
        <w:rPr>
          <w:rFonts w:hint="eastAsia" w:ascii="宋体" w:hAnsi="宋体" w:cs="宋体"/>
          <w:szCs w:val="21"/>
          <w:highlight w:val="none"/>
        </w:rPr>
        <w:t>本规范的主要技术内容是：1总则；2术语和符号；3基本规定；4设计；5施工；6质量检测</w:t>
      </w:r>
      <w:r>
        <w:rPr>
          <w:rFonts w:hint="eastAsia" w:ascii="宋体" w:hAnsi="宋体" w:cs="宋体"/>
          <w:szCs w:val="21"/>
          <w:highlight w:val="none"/>
          <w:lang w:val="en-US" w:eastAsia="zh-CN"/>
        </w:rPr>
        <w:t>及</w:t>
      </w:r>
      <w:r>
        <w:rPr>
          <w:rFonts w:hint="eastAsia" w:ascii="宋体" w:hAnsi="宋体" w:cs="宋体"/>
          <w:szCs w:val="21"/>
          <w:highlight w:val="none"/>
        </w:rPr>
        <w:t>验收等。</w:t>
      </w:r>
    </w:p>
    <w:p w14:paraId="5E95F47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cs="宋体"/>
          <w:szCs w:val="21"/>
          <w:highlight w:val="none"/>
        </w:rPr>
      </w:pPr>
      <w:r>
        <w:rPr>
          <w:rFonts w:hint="eastAsia" w:ascii="宋体" w:hAnsi="宋体" w:cs="宋体"/>
          <w:szCs w:val="21"/>
          <w:highlight w:val="none"/>
        </w:rPr>
        <w:t>本规范由中国石油与化工勘察设计协会负责管理，由建华建材（中国）有限公司负责具体技术内容的解释。执行过程中如有意见或建议，请寄送建华建材（中国）有限公司(地址：</w:t>
      </w:r>
      <w:r>
        <w:rPr>
          <w:rFonts w:hint="eastAsia"/>
        </w:rPr>
        <w:t>江苏省镇江市句容市下蜀镇沿江开发区，邮编212411</w:t>
      </w:r>
      <w:r>
        <w:rPr>
          <w:rFonts w:hint="eastAsia" w:ascii="宋体" w:hAnsi="宋体" w:cs="宋体"/>
          <w:szCs w:val="21"/>
          <w:highlight w:val="none"/>
        </w:rPr>
        <w:t>)。</w:t>
      </w:r>
    </w:p>
    <w:p w14:paraId="25C2AA1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宋体" w:hAnsi="宋体" w:eastAsia="宋体" w:cs="宋体"/>
          <w:szCs w:val="21"/>
          <w:highlight w:val="none"/>
          <w:lang w:val="en-US" w:eastAsia="zh-CN"/>
        </w:rPr>
      </w:pPr>
      <w:r>
        <w:rPr>
          <w:rFonts w:hint="eastAsia" w:ascii="宋体" w:hAnsi="宋体" w:cs="宋体"/>
          <w:szCs w:val="21"/>
          <w:highlight w:val="none"/>
        </w:rPr>
        <w:t>本规范主编单位：</w:t>
      </w:r>
      <w:r>
        <w:rPr>
          <w:rFonts w:hint="eastAsia" w:ascii="宋体" w:hAnsi="宋体" w:cs="宋体"/>
          <w:szCs w:val="21"/>
          <w:highlight w:val="none"/>
          <w:lang w:val="en-US" w:eastAsia="zh-CN"/>
        </w:rPr>
        <w:t xml:space="preserve">   </w:t>
      </w:r>
    </w:p>
    <w:p w14:paraId="4CF03077">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建华建材（中国）有限公司</w:t>
      </w:r>
    </w:p>
    <w:p w14:paraId="7DF7D34B">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cs="宋体"/>
          <w:szCs w:val="21"/>
          <w:highlight w:val="none"/>
        </w:rPr>
      </w:pPr>
      <w:r>
        <w:rPr>
          <w:rFonts w:hint="eastAsia" w:ascii="宋体" w:hAnsi="宋体" w:cs="宋体"/>
          <w:szCs w:val="21"/>
          <w:highlight w:val="none"/>
        </w:rPr>
        <w:t>本规范参编单位：</w:t>
      </w:r>
    </w:p>
    <w:p w14:paraId="767B1AF8">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中国寰球工程有限公司北京分公司</w:t>
      </w:r>
    </w:p>
    <w:p w14:paraId="104A007E">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华陆工程科技有限责任公司</w:t>
      </w:r>
    </w:p>
    <w:p w14:paraId="636A6CCC">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中国五环工程有限公司</w:t>
      </w:r>
    </w:p>
    <w:p w14:paraId="7531A5F3">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中国天辰工程有限公司</w:t>
      </w:r>
    </w:p>
    <w:p w14:paraId="134A80DA">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lang w:val="en-US" w:eastAsia="zh-CN"/>
        </w:rPr>
        <w:t>北京</w:t>
      </w:r>
      <w:r>
        <w:rPr>
          <w:rFonts w:hint="eastAsia" w:ascii="宋体" w:hAnsi="宋体" w:cs="宋体"/>
          <w:szCs w:val="21"/>
          <w:highlight w:val="none"/>
        </w:rPr>
        <w:t>中岩大地科技股份有限公司</w:t>
      </w:r>
    </w:p>
    <w:p w14:paraId="554DF2B5">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中国石化工程建设有限公司</w:t>
      </w:r>
    </w:p>
    <w:p w14:paraId="02768CE0">
      <w:pPr>
        <w:keepNext w:val="0"/>
        <w:keepLines w:val="0"/>
        <w:widowControl/>
        <w:suppressLineNumbers w:val="0"/>
        <w:ind w:firstLine="840" w:firstLineChars="400"/>
        <w:jc w:val="left"/>
      </w:pPr>
      <w:r>
        <w:rPr>
          <w:rFonts w:hint="eastAsia" w:ascii="宋体-WinCharSetFFFF-H" w:hAnsi="宋体-WinCharSetFFFF-H" w:eastAsia="宋体-WinCharSetFFFF-H" w:cs="宋体-WinCharSetFFFF-H"/>
          <w:color w:val="000000"/>
          <w:kern w:val="0"/>
          <w:sz w:val="21"/>
          <w:szCs w:val="21"/>
          <w:lang w:val="en-US" w:eastAsia="zh-CN" w:bidi="ar"/>
        </w:rPr>
        <w:t>中石化广州工程有限公司</w:t>
      </w:r>
    </w:p>
    <w:p w14:paraId="1A99758F">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中石化上海工程有限公司</w:t>
      </w:r>
    </w:p>
    <w:p w14:paraId="4ED3372C">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中石化宁波工程有限公司</w:t>
      </w:r>
    </w:p>
    <w:p w14:paraId="3D230990">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中国成达工程有限公司</w:t>
      </w:r>
    </w:p>
    <w:p w14:paraId="4EFC1C2D">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赛鼎工程有限公司</w:t>
      </w:r>
    </w:p>
    <w:p w14:paraId="1D41727F">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浙江省岩土基础有限公司</w:t>
      </w:r>
    </w:p>
    <w:p w14:paraId="7C7E54AD">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东华工程科技股份有限公司</w:t>
      </w:r>
    </w:p>
    <w:p w14:paraId="0A7FA994">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中国化学赛鼎宁波工程有限公司</w:t>
      </w:r>
    </w:p>
    <w:p w14:paraId="1F1E9B6E">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上海寰球工程有限公司</w:t>
      </w:r>
    </w:p>
    <w:p w14:paraId="3FB40CA6">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中石油华东设计院有限公司</w:t>
      </w:r>
    </w:p>
    <w:p w14:paraId="10CE3F3B">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中海油石化工程有限公司</w:t>
      </w:r>
    </w:p>
    <w:p w14:paraId="46880505">
      <w:pPr>
        <w:keepNext w:val="0"/>
        <w:keepLines w:val="0"/>
        <w:widowControl/>
        <w:suppressLineNumbers w:val="0"/>
        <w:ind w:firstLine="840" w:firstLineChars="400"/>
        <w:jc w:val="left"/>
        <w:rPr>
          <w:rFonts w:hint="eastAsia" w:ascii="宋体-WinCharSetFFFF-H" w:hAnsi="宋体-WinCharSetFFFF-H" w:eastAsia="宋体-WinCharSetFFFF-H" w:cs="宋体-WinCharSetFFFF-H"/>
          <w:color w:val="000000"/>
          <w:kern w:val="0"/>
          <w:sz w:val="21"/>
          <w:szCs w:val="21"/>
          <w:highlight w:val="none"/>
          <w:lang w:val="en-US" w:eastAsia="zh-CN" w:bidi="ar"/>
        </w:rPr>
      </w:pPr>
      <w:r>
        <w:rPr>
          <w:rFonts w:hint="eastAsia" w:ascii="宋体-WinCharSetFFFF-H" w:hAnsi="宋体-WinCharSetFFFF-H" w:eastAsia="宋体-WinCharSetFFFF-H" w:cs="宋体-WinCharSetFFFF-H"/>
          <w:color w:val="000000"/>
          <w:kern w:val="0"/>
          <w:sz w:val="21"/>
          <w:szCs w:val="21"/>
          <w:highlight w:val="none"/>
          <w:lang w:val="en-US" w:eastAsia="zh-CN" w:bidi="ar"/>
        </w:rPr>
        <w:t>浙江石油化工有限公司</w:t>
      </w:r>
    </w:p>
    <w:p w14:paraId="1344AFBF">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中国化学工程第三建设有限公司</w:t>
      </w:r>
    </w:p>
    <w:p w14:paraId="15155ECC">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lang w:val="en-US" w:eastAsia="zh-CN"/>
        </w:rPr>
        <w:t>化</w:t>
      </w:r>
      <w:r>
        <w:rPr>
          <w:rFonts w:hint="eastAsia" w:ascii="宋体" w:hAnsi="宋体" w:cs="宋体"/>
          <w:szCs w:val="21"/>
          <w:highlight w:val="none"/>
        </w:rPr>
        <w:t>学工业第一勘察设计院有限公司</w:t>
      </w:r>
    </w:p>
    <w:p w14:paraId="251A9C5D">
      <w:pPr>
        <w:keepNext w:val="0"/>
        <w:keepLines w:val="0"/>
        <w:widowControl/>
        <w:suppressLineNumbers w:val="0"/>
        <w:ind w:firstLine="840" w:firstLineChars="400"/>
        <w:jc w:val="left"/>
        <w:rPr>
          <w:highlight w:val="none"/>
        </w:rPr>
      </w:pPr>
      <w:r>
        <w:rPr>
          <w:rFonts w:ascii="宋体-WinCharSetFFFF-H" w:hAnsi="宋体-WinCharSetFFFF-H" w:eastAsia="宋体-WinCharSetFFFF-H" w:cs="宋体-WinCharSetFFFF-H"/>
          <w:color w:val="000000"/>
          <w:kern w:val="0"/>
          <w:sz w:val="21"/>
          <w:szCs w:val="21"/>
          <w:highlight w:val="none"/>
          <w:lang w:val="en-US" w:eastAsia="zh-CN" w:bidi="ar"/>
        </w:rPr>
        <w:t xml:space="preserve">国家管网集团工程技术创新有限公司 </w:t>
      </w:r>
    </w:p>
    <w:p w14:paraId="671286A5">
      <w:pPr>
        <w:keepNext w:val="0"/>
        <w:keepLines w:val="0"/>
        <w:widowControl/>
        <w:suppressLineNumbers w:val="0"/>
        <w:ind w:firstLine="840" w:firstLineChars="400"/>
        <w:jc w:val="left"/>
        <w:rPr>
          <w:highlight w:val="none"/>
        </w:rPr>
      </w:pPr>
      <w:r>
        <w:rPr>
          <w:rFonts w:ascii="宋体-WinCharSetFFFF-H" w:hAnsi="宋体-WinCharSetFFFF-H" w:eastAsia="宋体-WinCharSetFFFF-H" w:cs="宋体-WinCharSetFFFF-H"/>
          <w:color w:val="000000"/>
          <w:kern w:val="0"/>
          <w:sz w:val="21"/>
          <w:szCs w:val="21"/>
          <w:highlight w:val="none"/>
          <w:lang w:val="en-US" w:eastAsia="zh-CN" w:bidi="ar"/>
        </w:rPr>
        <w:t xml:space="preserve">中石化南京工程有限公司 </w:t>
      </w:r>
    </w:p>
    <w:p w14:paraId="6A61B85F">
      <w:pPr>
        <w:keepNext w:val="0"/>
        <w:keepLines w:val="0"/>
        <w:widowControl/>
        <w:suppressLineNumbers w:val="0"/>
        <w:ind w:firstLine="840" w:firstLineChars="400"/>
        <w:jc w:val="left"/>
        <w:rPr>
          <w:highlight w:val="none"/>
        </w:rPr>
      </w:pPr>
      <w:r>
        <w:rPr>
          <w:rFonts w:ascii="宋体-WinCharSetFFFF-H" w:hAnsi="宋体-WinCharSetFFFF-H" w:eastAsia="宋体-WinCharSetFFFF-H" w:cs="宋体-WinCharSetFFFF-H"/>
          <w:color w:val="000000"/>
          <w:kern w:val="0"/>
          <w:sz w:val="21"/>
          <w:szCs w:val="21"/>
          <w:highlight w:val="none"/>
          <w:lang w:val="en-US" w:eastAsia="zh-CN" w:bidi="ar"/>
        </w:rPr>
        <w:t xml:space="preserve">北京石油化工工程有限公司 </w:t>
      </w:r>
    </w:p>
    <w:p w14:paraId="3836BD2C">
      <w:pPr>
        <w:keepNext w:val="0"/>
        <w:keepLines w:val="0"/>
        <w:widowControl/>
        <w:suppressLineNumbers w:val="0"/>
        <w:ind w:firstLine="840" w:firstLineChars="400"/>
        <w:jc w:val="left"/>
        <w:rPr>
          <w:rFonts w:ascii="宋体-WinCharSetFFFF-H" w:hAnsi="宋体-WinCharSetFFFF-H" w:eastAsia="宋体-WinCharSetFFFF-H" w:cs="宋体-WinCharSetFFFF-H"/>
          <w:color w:val="000000"/>
          <w:kern w:val="0"/>
          <w:sz w:val="21"/>
          <w:szCs w:val="21"/>
          <w:highlight w:val="none"/>
          <w:lang w:val="en-US" w:eastAsia="zh-CN" w:bidi="ar"/>
        </w:rPr>
      </w:pPr>
      <w:r>
        <w:rPr>
          <w:rFonts w:ascii="宋体-WinCharSetFFFF-H" w:hAnsi="宋体-WinCharSetFFFF-H" w:eastAsia="宋体-WinCharSetFFFF-H" w:cs="宋体-WinCharSetFFFF-H"/>
          <w:color w:val="000000"/>
          <w:kern w:val="0"/>
          <w:sz w:val="21"/>
          <w:szCs w:val="21"/>
          <w:highlight w:val="none"/>
          <w:lang w:val="en-US" w:eastAsia="zh-CN" w:bidi="ar"/>
        </w:rPr>
        <w:t>中化岩土集团股份有限公司</w:t>
      </w:r>
    </w:p>
    <w:p w14:paraId="494911CE">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rPr>
        <w:t>海南大学</w:t>
      </w:r>
    </w:p>
    <w:p w14:paraId="585D586A">
      <w:pPr>
        <w:keepNext w:val="0"/>
        <w:keepLines w:val="0"/>
        <w:widowControl w:val="0"/>
        <w:suppressLineNumbers w:val="0"/>
        <w:ind w:firstLine="840" w:firstLineChars="400"/>
        <w:jc w:val="left"/>
        <w:rPr>
          <w:rFonts w:hint="eastAsia" w:ascii="宋体" w:hAnsi="宋体" w:cs="宋体"/>
          <w:szCs w:val="21"/>
          <w:highlight w:val="none"/>
        </w:rPr>
      </w:pPr>
      <w:r>
        <w:rPr>
          <w:rFonts w:hint="eastAsia" w:ascii="宋体" w:hAnsi="宋体" w:cs="宋体"/>
          <w:szCs w:val="21"/>
          <w:highlight w:val="none"/>
        </w:rPr>
        <w:t>建华建材（</w:t>
      </w:r>
      <w:r>
        <w:rPr>
          <w:rFonts w:hint="eastAsia" w:ascii="宋体" w:hAnsi="宋体" w:cs="宋体"/>
          <w:szCs w:val="21"/>
          <w:highlight w:val="none"/>
          <w:lang w:val="en-US" w:eastAsia="zh-CN"/>
        </w:rPr>
        <w:t>天津</w:t>
      </w:r>
      <w:r>
        <w:rPr>
          <w:rFonts w:hint="eastAsia" w:ascii="宋体" w:hAnsi="宋体" w:cs="宋体"/>
          <w:szCs w:val="21"/>
          <w:highlight w:val="none"/>
        </w:rPr>
        <w:t>）有限公司</w:t>
      </w:r>
    </w:p>
    <w:p w14:paraId="6E4E67B1">
      <w:pPr>
        <w:keepNext w:val="0"/>
        <w:keepLines w:val="0"/>
        <w:widowControl w:val="0"/>
        <w:suppressLineNumbers w:val="0"/>
        <w:ind w:firstLine="840" w:firstLineChars="400"/>
        <w:jc w:val="left"/>
        <w:rPr>
          <w:rFonts w:ascii="宋体-WinCharSetFFFF-H" w:hAnsi="宋体-WinCharSetFFFF-H" w:eastAsia="宋体-WinCharSetFFFF-H" w:cs="宋体-WinCharSetFFFF-H"/>
          <w:color w:val="000000"/>
          <w:kern w:val="0"/>
          <w:sz w:val="21"/>
          <w:szCs w:val="21"/>
          <w:highlight w:val="none"/>
          <w:lang w:val="en-US" w:eastAsia="zh-CN" w:bidi="ar"/>
        </w:rPr>
      </w:pPr>
      <w:r>
        <w:rPr>
          <w:rFonts w:hint="eastAsia" w:ascii="宋体" w:hAnsi="宋体" w:cs="宋体"/>
          <w:szCs w:val="21"/>
          <w:highlight w:val="none"/>
        </w:rPr>
        <w:t>建华建材（</w:t>
      </w:r>
      <w:r>
        <w:rPr>
          <w:rFonts w:hint="eastAsia" w:ascii="宋体" w:hAnsi="宋体" w:cs="宋体"/>
          <w:szCs w:val="21"/>
          <w:highlight w:val="none"/>
          <w:lang w:val="en-US" w:eastAsia="zh-CN"/>
        </w:rPr>
        <w:t>阳江</w:t>
      </w:r>
      <w:r>
        <w:rPr>
          <w:rFonts w:hint="eastAsia" w:ascii="宋体" w:hAnsi="宋体" w:cs="宋体"/>
          <w:szCs w:val="21"/>
          <w:highlight w:val="none"/>
        </w:rPr>
        <w:t>）有限公司</w:t>
      </w:r>
    </w:p>
    <w:p w14:paraId="441B688A">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cs="宋体"/>
          <w:szCs w:val="21"/>
          <w:highlight w:val="none"/>
        </w:rPr>
      </w:pPr>
      <w:r>
        <w:rPr>
          <w:rFonts w:hint="eastAsia" w:ascii="宋体" w:hAnsi="宋体" w:cs="宋体"/>
          <w:szCs w:val="21"/>
          <w:highlight w:val="none"/>
        </w:rPr>
        <w:t>本规范主要起草人员:</w:t>
      </w:r>
    </w:p>
    <w:p w14:paraId="4DC917FA">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 xml:space="preserve">毛由田 </w:t>
      </w:r>
      <w:r>
        <w:rPr>
          <w:rFonts w:hint="eastAsia" w:ascii="宋体" w:hAnsi="宋体" w:cs="宋体"/>
          <w:szCs w:val="21"/>
          <w:highlight w:val="none"/>
        </w:rPr>
        <w:t xml:space="preserve">  姚国明</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 </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柳景虹 </w:t>
      </w:r>
      <w:r>
        <w:rPr>
          <w:rFonts w:hint="eastAsia" w:ascii="宋体" w:hAnsi="宋体" w:cs="宋体"/>
          <w:szCs w:val="21"/>
          <w:highlight w:val="none"/>
          <w:lang w:val="en-US" w:eastAsia="zh-CN"/>
        </w:rPr>
        <w:t xml:space="preserve">  </w:t>
      </w:r>
      <w:r>
        <w:rPr>
          <w:rFonts w:hint="eastAsia" w:ascii="宋体" w:hAnsi="宋体" w:cs="宋体"/>
          <w:szCs w:val="21"/>
          <w:highlight w:val="none"/>
        </w:rPr>
        <w:t>金忠良</w:t>
      </w:r>
    </w:p>
    <w:p w14:paraId="4A486170">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rPr>
      </w:pPr>
      <w:r>
        <w:rPr>
          <w:rFonts w:hint="eastAsia" w:ascii="宋体" w:hAnsi="宋体" w:cs="宋体"/>
          <w:szCs w:val="21"/>
          <w:highlight w:val="none"/>
          <w:lang w:val="en-US" w:eastAsia="zh-CN"/>
        </w:rPr>
        <w:t xml:space="preserve">刘振华   宋伟杰   李先顺   </w:t>
      </w:r>
      <w:r>
        <w:rPr>
          <w:rFonts w:hint="eastAsia" w:ascii="宋体" w:hAnsi="宋体" w:cs="宋体"/>
          <w:szCs w:val="21"/>
          <w:highlight w:val="none"/>
        </w:rPr>
        <w:t xml:space="preserve">邱道军      </w:t>
      </w:r>
    </w:p>
    <w:p w14:paraId="5C8D130B">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lang w:val="en-US" w:eastAsia="zh-CN"/>
        </w:rPr>
      </w:pPr>
      <w:r>
        <w:rPr>
          <w:rFonts w:hint="eastAsia" w:ascii="宋体" w:hAnsi="宋体" w:cs="宋体"/>
          <w:szCs w:val="21"/>
          <w:highlight w:val="none"/>
        </w:rPr>
        <w:t>张毅斌</w:t>
      </w:r>
      <w:r>
        <w:rPr>
          <w:rFonts w:hint="eastAsia" w:ascii="宋体" w:hAnsi="宋体" w:cs="宋体"/>
          <w:szCs w:val="21"/>
          <w:highlight w:val="none"/>
          <w:lang w:val="en-US" w:eastAsia="zh-CN"/>
        </w:rPr>
        <w:t xml:space="preserve">   </w:t>
      </w:r>
      <w:r>
        <w:rPr>
          <w:rFonts w:hint="eastAsia" w:ascii="宋体" w:hAnsi="宋体" w:cs="宋体"/>
          <w:szCs w:val="21"/>
          <w:highlight w:val="none"/>
        </w:rPr>
        <w:t>刘  琪   王志彤</w:t>
      </w:r>
      <w:r>
        <w:rPr>
          <w:rFonts w:hint="eastAsia" w:ascii="宋体" w:hAnsi="宋体" w:cs="宋体"/>
          <w:szCs w:val="21"/>
          <w:highlight w:val="none"/>
          <w:lang w:val="en-US" w:eastAsia="zh-CN"/>
        </w:rPr>
        <w:t xml:space="preserve">   </w:t>
      </w:r>
      <w:r>
        <w:rPr>
          <w:rFonts w:hint="eastAsia" w:ascii="宋体" w:hAnsi="宋体" w:cs="宋体"/>
          <w:szCs w:val="21"/>
          <w:highlight w:val="none"/>
        </w:rPr>
        <w:t>史恒通</w:t>
      </w:r>
      <w:r>
        <w:rPr>
          <w:rFonts w:hint="eastAsia" w:ascii="宋体" w:hAnsi="宋体" w:cs="宋体"/>
          <w:szCs w:val="21"/>
          <w:highlight w:val="none"/>
          <w:lang w:val="en-US" w:eastAsia="zh-CN"/>
        </w:rPr>
        <w:t xml:space="preserve">   </w:t>
      </w:r>
    </w:p>
    <w:p w14:paraId="4EC3CA00">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eastAsia" w:ascii="宋体" w:hAnsi="宋体" w:cs="宋体"/>
          <w:szCs w:val="21"/>
          <w:highlight w:val="none"/>
          <w:lang w:val="en-US" w:eastAsia="zh-CN"/>
        </w:rPr>
      </w:pPr>
      <w:r>
        <w:rPr>
          <w:rFonts w:hint="eastAsia" w:ascii="宋体" w:hAnsi="宋体" w:cs="宋体"/>
          <w:szCs w:val="21"/>
          <w:highlight w:val="none"/>
          <w:lang w:val="en-US" w:eastAsia="zh-CN"/>
        </w:rPr>
        <w:t xml:space="preserve">万朝梅   耿志光   </w:t>
      </w:r>
      <w:r>
        <w:rPr>
          <w:rFonts w:hint="eastAsia" w:ascii="宋体" w:hAnsi="宋体" w:cs="宋体"/>
          <w:szCs w:val="21"/>
          <w:highlight w:val="none"/>
        </w:rPr>
        <w:t>杨  豪</w:t>
      </w:r>
      <w:r>
        <w:rPr>
          <w:rFonts w:hint="eastAsia" w:ascii="宋体" w:hAnsi="宋体" w:cs="宋体"/>
          <w:szCs w:val="21"/>
          <w:highlight w:val="none"/>
          <w:lang w:val="en-US" w:eastAsia="zh-CN"/>
        </w:rPr>
        <w:t xml:space="preserve">   王  利    </w:t>
      </w:r>
    </w:p>
    <w:p w14:paraId="7647AAAB">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default" w:ascii="宋体" w:hAnsi="宋体" w:cs="宋体"/>
          <w:szCs w:val="21"/>
          <w:highlight w:val="none"/>
          <w:lang w:val="en-US" w:eastAsia="zh-CN"/>
        </w:rPr>
      </w:pPr>
      <w:r>
        <w:rPr>
          <w:rFonts w:hint="eastAsia" w:ascii="宋体" w:hAnsi="宋体" w:cs="宋体"/>
          <w:szCs w:val="21"/>
          <w:highlight w:val="none"/>
          <w:lang w:val="en-US" w:eastAsia="zh-CN"/>
        </w:rPr>
        <w:t xml:space="preserve">童中明   李  强   王  利   王爱兵   </w:t>
      </w:r>
    </w:p>
    <w:p w14:paraId="401C4830">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default" w:ascii="宋体" w:hAnsi="宋体" w:cs="宋体"/>
          <w:szCs w:val="21"/>
          <w:highlight w:val="none"/>
          <w:lang w:val="en-US"/>
        </w:rPr>
      </w:pPr>
      <w:r>
        <w:rPr>
          <w:rFonts w:hint="eastAsia" w:ascii="宋体" w:hAnsi="宋体" w:cs="宋体"/>
          <w:szCs w:val="21"/>
          <w:highlight w:val="none"/>
          <w:lang w:val="en-US" w:eastAsia="zh-CN"/>
        </w:rPr>
        <w:t>蒋晓锋   古育平   高  剑   甄  军</w:t>
      </w:r>
      <w:r>
        <w:rPr>
          <w:rFonts w:hint="eastAsia" w:ascii="宋体" w:hAnsi="宋体" w:cs="宋体"/>
          <w:szCs w:val="21"/>
          <w:highlight w:val="none"/>
        </w:rPr>
        <w:t xml:space="preserve">   </w:t>
      </w:r>
    </w:p>
    <w:p w14:paraId="00F43625">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default" w:ascii="宋体" w:hAnsi="宋体" w:cs="宋体"/>
          <w:szCs w:val="21"/>
          <w:highlight w:val="none"/>
          <w:lang w:val="en-US" w:eastAsia="zh-CN"/>
        </w:rPr>
      </w:pPr>
      <w:r>
        <w:rPr>
          <w:rFonts w:hint="eastAsia" w:ascii="宋体" w:hAnsi="宋体" w:cs="宋体"/>
          <w:szCs w:val="21"/>
          <w:highlight w:val="none"/>
          <w:lang w:val="en-US" w:eastAsia="zh-CN"/>
        </w:rPr>
        <w:t xml:space="preserve">余建飞   陈云生   赵  勇   张雨生   </w:t>
      </w:r>
    </w:p>
    <w:p w14:paraId="5F67D425">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default" w:ascii="宋体" w:hAnsi="宋体" w:cs="宋体"/>
          <w:szCs w:val="21"/>
          <w:highlight w:val="none"/>
          <w:lang w:val="en-US" w:eastAsia="zh-CN"/>
        </w:rPr>
      </w:pPr>
      <w:r>
        <w:rPr>
          <w:rFonts w:hint="eastAsia" w:ascii="宋体" w:hAnsi="宋体" w:cs="宋体"/>
          <w:szCs w:val="21"/>
          <w:highlight w:val="none"/>
          <w:lang w:val="en-US" w:eastAsia="zh-CN"/>
        </w:rPr>
        <w:t xml:space="preserve">王群伟   李晟源   蒋  超   余晓锋   </w:t>
      </w:r>
    </w:p>
    <w:p w14:paraId="3EFB52F7">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default" w:ascii="宋体" w:hAnsi="宋体" w:cs="宋体"/>
          <w:szCs w:val="21"/>
          <w:highlight w:val="none"/>
          <w:lang w:val="en-US" w:eastAsia="zh-CN"/>
        </w:rPr>
      </w:pPr>
      <w:r>
        <w:rPr>
          <w:rFonts w:hint="eastAsia" w:ascii="宋体" w:hAnsi="宋体" w:cs="宋体"/>
          <w:szCs w:val="21"/>
          <w:highlight w:val="none"/>
          <w:lang w:val="en-US" w:eastAsia="zh-CN"/>
        </w:rPr>
        <w:t>张亚新   陈  迪   吴红利   高斌峰</w:t>
      </w:r>
    </w:p>
    <w:p w14:paraId="68DB9AC2">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default" w:ascii="宋体" w:hAnsi="宋体" w:cs="宋体"/>
          <w:szCs w:val="21"/>
          <w:highlight w:val="none"/>
          <w:lang w:val="en-US" w:eastAsia="zh-CN"/>
        </w:rPr>
      </w:pPr>
      <w:r>
        <w:rPr>
          <w:rFonts w:hint="eastAsia" w:ascii="宋体" w:hAnsi="宋体" w:cs="宋体"/>
          <w:szCs w:val="21"/>
          <w:highlight w:val="none"/>
          <w:lang w:val="en-US" w:eastAsia="zh-CN"/>
        </w:rPr>
        <w:t>姜晨玉   刘占强   程书昌   王永卫</w:t>
      </w:r>
    </w:p>
    <w:p w14:paraId="3002BBBF">
      <w:pPr>
        <w:keepNext w:val="0"/>
        <w:keepLines w:val="0"/>
        <w:pageBreakBefore w:val="0"/>
        <w:widowControl w:val="0"/>
        <w:kinsoku/>
        <w:wordWrap/>
        <w:overflowPunct/>
        <w:topLinePunct w:val="0"/>
        <w:autoSpaceDE/>
        <w:autoSpaceDN/>
        <w:bidi w:val="0"/>
        <w:adjustRightInd/>
        <w:snapToGrid/>
        <w:ind w:firstLine="840" w:firstLineChars="400"/>
        <w:textAlignment w:val="auto"/>
        <w:rPr>
          <w:rFonts w:hint="default" w:ascii="宋体" w:hAnsi="宋体" w:cs="宋体"/>
          <w:szCs w:val="21"/>
          <w:lang w:val="en-US" w:eastAsia="zh-CN"/>
        </w:rPr>
      </w:pPr>
      <w:r>
        <w:rPr>
          <w:rFonts w:hint="eastAsia" w:ascii="宋体" w:hAnsi="宋体" w:cs="宋体"/>
          <w:szCs w:val="21"/>
          <w:lang w:val="en-US" w:eastAsia="zh-CN"/>
        </w:rPr>
        <w:t>胡  俊   许鹏展   夏庆鹏</w:t>
      </w:r>
    </w:p>
    <w:p w14:paraId="70F8BDDE">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宋体" w:hAnsi="宋体" w:cs="宋体"/>
          <w:szCs w:val="21"/>
          <w:lang w:val="en-US" w:eastAsia="zh-CN"/>
        </w:rPr>
      </w:pPr>
    </w:p>
    <w:p w14:paraId="25EE063F">
      <w:pPr>
        <w:rPr>
          <w:rFonts w:eastAsia="黑体"/>
          <w:sz w:val="28"/>
          <w:szCs w:val="32"/>
          <w:highlight w:val="none"/>
        </w:rPr>
      </w:pPr>
      <w:r>
        <w:rPr>
          <w:rFonts w:eastAsia="黑体"/>
          <w:sz w:val="28"/>
          <w:szCs w:val="32"/>
          <w:highlight w:val="none"/>
        </w:rPr>
        <w:br w:type="page"/>
      </w:r>
      <w:bookmarkStart w:id="0" w:name="_Toc478810132"/>
      <w:bookmarkStart w:id="1" w:name="_Toc478803274"/>
      <w:bookmarkStart w:id="2" w:name="_Toc24853"/>
    </w:p>
    <w:sdt>
      <w:sdtPr>
        <w:rPr>
          <w:rFonts w:ascii="宋体" w:hAnsi="宋体"/>
          <w:b/>
          <w:bCs/>
          <w:sz w:val="28"/>
          <w:szCs w:val="28"/>
          <w:highlight w:val="none"/>
        </w:rPr>
        <w:id w:val="147476749"/>
        <w:docPartObj>
          <w:docPartGallery w:val="Table of Contents"/>
          <w:docPartUnique/>
        </w:docPartObj>
      </w:sdtPr>
      <w:sdtEndPr>
        <w:rPr>
          <w:rFonts w:ascii="Calibri" w:hAnsi="Calibri" w:eastAsia="黑体"/>
          <w:b/>
          <w:bCs/>
          <w:sz w:val="21"/>
          <w:szCs w:val="32"/>
          <w:highlight w:val="none"/>
        </w:rPr>
      </w:sdtEndPr>
      <w:sdtContent>
        <w:p w14:paraId="699400B0">
          <w:pPr>
            <w:jc w:val="center"/>
            <w:rPr>
              <w:b w:val="0"/>
              <w:bCs w:val="0"/>
              <w:sz w:val="28"/>
              <w:szCs w:val="28"/>
              <w:highlight w:val="none"/>
            </w:rPr>
          </w:pPr>
          <w:r>
            <w:rPr>
              <w:rFonts w:hint="eastAsia" w:ascii="宋体" w:hAnsi="宋体"/>
              <w:b w:val="0"/>
              <w:bCs w:val="0"/>
              <w:sz w:val="28"/>
              <w:szCs w:val="28"/>
              <w:highlight w:val="none"/>
            </w:rPr>
            <w:t>目  次</w:t>
          </w:r>
        </w:p>
        <w:p w14:paraId="2521F6BB">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b w:val="0"/>
              <w:bCs w:val="0"/>
              <w:sz w:val="21"/>
              <w:szCs w:val="21"/>
              <w:highlight w:val="none"/>
            </w:rPr>
            <w:fldChar w:fldCharType="begin"/>
          </w:r>
          <w:r>
            <w:rPr>
              <w:rFonts w:hint="eastAsia" w:ascii="宋体" w:hAnsi="宋体" w:cs="宋体"/>
              <w:b w:val="0"/>
              <w:bCs w:val="0"/>
              <w:sz w:val="21"/>
              <w:szCs w:val="21"/>
              <w:highlight w:val="none"/>
            </w:rPr>
            <w:instrText xml:space="preserve">TOC \o "1-2" \h \u </w:instrText>
          </w:r>
          <w:r>
            <w:rPr>
              <w:rFonts w:hint="eastAsia" w:ascii="宋体" w:hAnsi="宋体" w:cs="宋体"/>
              <w:b w:val="0"/>
              <w:bCs w:val="0"/>
              <w:sz w:val="21"/>
              <w:szCs w:val="21"/>
              <w:highlight w:val="none"/>
            </w:rPr>
            <w:fldChar w:fldCharType="separate"/>
          </w:r>
          <w:r>
            <w:rPr>
              <w:rFonts w:hint="eastAsia" w:ascii="宋体" w:hAnsi="宋体" w:cs="宋体"/>
              <w:bCs w:val="0"/>
              <w:szCs w:val="21"/>
              <w:highlight w:val="none"/>
            </w:rPr>
            <w:fldChar w:fldCharType="begin"/>
          </w:r>
          <w:r>
            <w:rPr>
              <w:rFonts w:hint="eastAsia" w:ascii="宋体" w:hAnsi="宋体" w:cs="宋体"/>
              <w:bCs w:val="0"/>
              <w:szCs w:val="21"/>
              <w:highlight w:val="none"/>
            </w:rPr>
            <w:instrText xml:space="preserve"> HYPERLINK \l _Toc23504 </w:instrText>
          </w:r>
          <w:r>
            <w:rPr>
              <w:rFonts w:hint="eastAsia" w:ascii="宋体" w:hAnsi="宋体" w:cs="宋体"/>
              <w:bCs w:val="0"/>
              <w:szCs w:val="21"/>
              <w:highlight w:val="none"/>
            </w:rPr>
            <w:fldChar w:fldCharType="separate"/>
          </w:r>
          <w:r>
            <w:rPr>
              <w:rFonts w:hint="eastAsia" w:ascii="黑体" w:hAnsi="黑体" w:cs="黑体"/>
              <w:bCs w:val="0"/>
              <w:highlight w:val="none"/>
            </w:rPr>
            <w:t>1</w:t>
          </w:r>
          <w:r>
            <w:rPr>
              <w:rFonts w:hint="eastAsia" w:ascii="黑体" w:hAnsi="黑体" w:cs="黑体"/>
              <w:highlight w:val="none"/>
            </w:rPr>
            <w:t xml:space="preserve"> 总  则</w:t>
          </w:r>
          <w:r>
            <w:tab/>
          </w:r>
          <w:r>
            <w:fldChar w:fldCharType="begin"/>
          </w:r>
          <w:r>
            <w:instrText xml:space="preserve"> PAGEREF _Toc23504 \h </w:instrText>
          </w:r>
          <w:r>
            <w:fldChar w:fldCharType="separate"/>
          </w:r>
          <w:r>
            <w:t>1</w:t>
          </w:r>
          <w:r>
            <w:fldChar w:fldCharType="end"/>
          </w:r>
          <w:r>
            <w:rPr>
              <w:rFonts w:hint="eastAsia" w:ascii="宋体" w:hAnsi="宋体" w:cs="宋体"/>
              <w:bCs w:val="0"/>
              <w:szCs w:val="21"/>
              <w:highlight w:val="none"/>
            </w:rPr>
            <w:fldChar w:fldCharType="end"/>
          </w:r>
        </w:p>
        <w:p w14:paraId="0D686C7F">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before="0" w:after="0"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_Toc14396 </w:instrText>
          </w:r>
          <w:r>
            <w:rPr>
              <w:rFonts w:hint="eastAsia" w:ascii="宋体" w:hAnsi="宋体" w:cs="宋体"/>
              <w:szCs w:val="21"/>
              <w:highlight w:val="none"/>
            </w:rPr>
            <w:fldChar w:fldCharType="separate"/>
          </w:r>
          <w:r>
            <w:rPr>
              <w:rFonts w:ascii="Times New Roman" w:hAnsi="Times New Roman"/>
              <w:bCs w:val="0"/>
              <w:highlight w:val="none"/>
            </w:rPr>
            <w:t>2</w:t>
          </w:r>
          <w:r>
            <w:rPr>
              <w:rFonts w:ascii="Times New Roman" w:hAnsi="Times New Roman"/>
              <w:highlight w:val="none"/>
            </w:rPr>
            <w:t xml:space="preserve"> 术语和符号</w:t>
          </w:r>
          <w:r>
            <w:tab/>
          </w:r>
          <w:r>
            <w:fldChar w:fldCharType="begin"/>
          </w:r>
          <w:r>
            <w:instrText xml:space="preserve"> PAGEREF _Toc14396 \h </w:instrText>
          </w:r>
          <w:r>
            <w:fldChar w:fldCharType="separate"/>
          </w:r>
          <w:r>
            <w:t>2</w:t>
          </w:r>
          <w:r>
            <w:fldChar w:fldCharType="end"/>
          </w:r>
          <w:r>
            <w:rPr>
              <w:rFonts w:hint="eastAsia" w:ascii="宋体" w:hAnsi="宋体" w:cs="宋体"/>
              <w:szCs w:val="21"/>
              <w:highlight w:val="none"/>
            </w:rPr>
            <w:fldChar w:fldCharType="end"/>
          </w:r>
        </w:p>
        <w:p w14:paraId="1250CF2C">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_Toc2431 </w:instrText>
          </w:r>
          <w:r>
            <w:rPr>
              <w:rFonts w:hint="eastAsia" w:ascii="宋体" w:hAnsi="宋体" w:cs="宋体"/>
              <w:szCs w:val="21"/>
              <w:highlight w:val="none"/>
            </w:rPr>
            <w:fldChar w:fldCharType="separate"/>
          </w:r>
          <w:r>
            <w:rPr>
              <w:rFonts w:hint="default" w:ascii="Times New Roman" w:hAnsi="Times New Roman"/>
              <w:bCs w:val="0"/>
              <w:highlight w:val="none"/>
            </w:rPr>
            <w:t>2.</w:t>
          </w:r>
          <w:r>
            <w:rPr>
              <w:rFonts w:hint="default" w:ascii="Times New Roman" w:hAnsi="Times New Roman"/>
              <w:bCs w:val="0"/>
              <w:highlight w:val="none"/>
              <w:lang w:val="en-US" w:eastAsia="zh-CN"/>
            </w:rPr>
            <w:t>1</w:t>
          </w:r>
          <w:r>
            <w:rPr>
              <w:rFonts w:hint="default" w:ascii="Times New Roman" w:hAnsi="Times New Roman" w:eastAsia="黑体" w:cs="Times New Roman"/>
              <w:bCs/>
              <w:kern w:val="0"/>
              <w:szCs w:val="21"/>
              <w:highlight w:val="none"/>
              <w:lang w:val="en-US" w:eastAsia="zh-CN" w:bidi="ar-SA"/>
            </w:rPr>
            <w:t xml:space="preserve"> </w:t>
          </w:r>
          <w:r>
            <w:rPr>
              <w:rFonts w:hint="default" w:ascii="Times New Roman" w:hAnsi="Times New Roman"/>
              <w:highlight w:val="none"/>
            </w:rPr>
            <w:t xml:space="preserve">术  </w:t>
          </w:r>
          <w:r>
            <w:rPr>
              <w:rFonts w:ascii="Times New Roman" w:hAnsi="Times New Roman"/>
              <w:highlight w:val="none"/>
            </w:rPr>
            <w:t>语</w:t>
          </w:r>
          <w:r>
            <w:tab/>
          </w:r>
          <w:r>
            <w:fldChar w:fldCharType="begin"/>
          </w:r>
          <w:r>
            <w:instrText xml:space="preserve"> PAGEREF _Toc2431 \h </w:instrText>
          </w:r>
          <w:r>
            <w:fldChar w:fldCharType="separate"/>
          </w:r>
          <w:r>
            <w:t>2</w:t>
          </w:r>
          <w:r>
            <w:fldChar w:fldCharType="end"/>
          </w:r>
          <w:r>
            <w:rPr>
              <w:rFonts w:hint="eastAsia" w:ascii="宋体" w:hAnsi="宋体" w:cs="宋体"/>
              <w:szCs w:val="21"/>
              <w:highlight w:val="none"/>
            </w:rPr>
            <w:fldChar w:fldCharType="end"/>
          </w:r>
        </w:p>
        <w:p w14:paraId="10D6ACDD">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_Toc13203 </w:instrText>
          </w:r>
          <w:r>
            <w:rPr>
              <w:rFonts w:hint="eastAsia" w:ascii="宋体" w:hAnsi="宋体" w:cs="宋体"/>
              <w:szCs w:val="21"/>
              <w:highlight w:val="none"/>
            </w:rPr>
            <w:fldChar w:fldCharType="separate"/>
          </w:r>
          <w:r>
            <w:rPr>
              <w:rFonts w:ascii="Times New Roman" w:hAnsi="Times New Roman"/>
              <w:bCs w:val="0"/>
              <w:highlight w:val="none"/>
            </w:rPr>
            <w:t>2.2</w:t>
          </w:r>
          <w:r>
            <w:rPr>
              <w:rFonts w:ascii="Times New Roman" w:hAnsi="Times New Roman"/>
              <w:highlight w:val="none"/>
            </w:rPr>
            <w:t xml:space="preserve"> 符</w:t>
          </w:r>
          <w:r>
            <w:rPr>
              <w:rFonts w:hint="default" w:ascii="Times New Roman" w:hAnsi="Times New Roman"/>
              <w:highlight w:val="none"/>
            </w:rPr>
            <w:t xml:space="preserve">  </w:t>
          </w:r>
          <w:r>
            <w:rPr>
              <w:rFonts w:ascii="Times New Roman" w:hAnsi="Times New Roman"/>
              <w:highlight w:val="none"/>
            </w:rPr>
            <w:t>号</w:t>
          </w:r>
          <w:r>
            <w:tab/>
          </w:r>
          <w:r>
            <w:fldChar w:fldCharType="begin"/>
          </w:r>
          <w:r>
            <w:instrText xml:space="preserve"> PAGEREF _Toc13203 \h </w:instrText>
          </w:r>
          <w:r>
            <w:fldChar w:fldCharType="separate"/>
          </w:r>
          <w:r>
            <w:t>3</w:t>
          </w:r>
          <w:r>
            <w:fldChar w:fldCharType="end"/>
          </w:r>
          <w:r>
            <w:rPr>
              <w:rFonts w:hint="eastAsia" w:ascii="宋体" w:hAnsi="宋体" w:cs="宋体"/>
              <w:szCs w:val="21"/>
              <w:highlight w:val="none"/>
            </w:rPr>
            <w:fldChar w:fldCharType="end"/>
          </w:r>
        </w:p>
        <w:p w14:paraId="45E9EA52">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_Toc10090 </w:instrText>
          </w:r>
          <w:r>
            <w:rPr>
              <w:rFonts w:hint="eastAsia" w:ascii="宋体" w:hAnsi="宋体" w:cs="宋体"/>
              <w:szCs w:val="21"/>
              <w:highlight w:val="none"/>
            </w:rPr>
            <w:fldChar w:fldCharType="separate"/>
          </w:r>
          <w:r>
            <w:rPr>
              <w:rFonts w:hint="default" w:ascii="Times New Roman" w:hAnsi="Times New Roman"/>
              <w:bCs w:val="0"/>
              <w:highlight w:val="none"/>
            </w:rPr>
            <w:t>3</w:t>
          </w:r>
          <w:r>
            <w:rPr>
              <w:rFonts w:hint="default" w:ascii="Times New Roman" w:hAnsi="Times New Roman"/>
              <w:highlight w:val="none"/>
            </w:rPr>
            <w:t xml:space="preserve"> 基本规定</w:t>
          </w:r>
          <w:r>
            <w:tab/>
          </w:r>
          <w:r>
            <w:fldChar w:fldCharType="begin"/>
          </w:r>
          <w:r>
            <w:instrText xml:space="preserve"> PAGEREF _Toc10090 \h </w:instrText>
          </w:r>
          <w:r>
            <w:fldChar w:fldCharType="separate"/>
          </w:r>
          <w:r>
            <w:t>5</w:t>
          </w:r>
          <w:r>
            <w:fldChar w:fldCharType="end"/>
          </w:r>
          <w:r>
            <w:rPr>
              <w:rFonts w:hint="eastAsia" w:ascii="宋体" w:hAnsi="宋体" w:cs="宋体"/>
              <w:szCs w:val="21"/>
              <w:highlight w:val="none"/>
            </w:rPr>
            <w:fldChar w:fldCharType="end"/>
          </w:r>
        </w:p>
        <w:p w14:paraId="76A66609">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_Toc21151 </w:instrText>
          </w:r>
          <w:r>
            <w:rPr>
              <w:rFonts w:hint="eastAsia" w:ascii="宋体" w:hAnsi="宋体" w:cs="宋体"/>
              <w:szCs w:val="21"/>
              <w:highlight w:val="none"/>
            </w:rPr>
            <w:fldChar w:fldCharType="separate"/>
          </w:r>
          <w:r>
            <w:rPr>
              <w:rFonts w:hint="default" w:ascii="Times New Roman" w:hAnsi="Times New Roman"/>
              <w:bCs w:val="0"/>
              <w:highlight w:val="none"/>
            </w:rPr>
            <w:t>4</w:t>
          </w:r>
          <w:r>
            <w:rPr>
              <w:rFonts w:hint="default" w:ascii="Times New Roman" w:hAnsi="Times New Roman"/>
              <w:highlight w:val="none"/>
            </w:rPr>
            <w:t xml:space="preserve"> </w:t>
          </w:r>
          <w:r>
            <w:rPr>
              <w:rFonts w:hint="default" w:ascii="Times New Roman" w:hAnsi="Times New Roman"/>
              <w:highlight w:val="none"/>
              <w:lang w:val="en-US" w:eastAsia="zh-CN"/>
            </w:rPr>
            <w:t>设计</w:t>
          </w:r>
          <w:r>
            <w:tab/>
          </w:r>
          <w:r>
            <w:fldChar w:fldCharType="begin"/>
          </w:r>
          <w:r>
            <w:instrText xml:space="preserve"> PAGEREF _Toc21151 \h </w:instrText>
          </w:r>
          <w:r>
            <w:fldChar w:fldCharType="separate"/>
          </w:r>
          <w:r>
            <w:t>6</w:t>
          </w:r>
          <w:r>
            <w:fldChar w:fldCharType="end"/>
          </w:r>
          <w:r>
            <w:rPr>
              <w:rFonts w:hint="eastAsia" w:ascii="宋体" w:hAnsi="宋体" w:cs="宋体"/>
              <w:szCs w:val="21"/>
              <w:highlight w:val="none"/>
            </w:rPr>
            <w:fldChar w:fldCharType="end"/>
          </w:r>
        </w:p>
        <w:p w14:paraId="33486E5A">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_Toc26117 </w:instrText>
          </w:r>
          <w:r>
            <w:rPr>
              <w:rFonts w:hint="eastAsia" w:ascii="宋体" w:hAnsi="宋体" w:cs="宋体"/>
              <w:szCs w:val="21"/>
              <w:highlight w:val="none"/>
            </w:rPr>
            <w:fldChar w:fldCharType="separate"/>
          </w:r>
          <w:r>
            <w:rPr>
              <w:rFonts w:hint="default" w:ascii="Times New Roman" w:hAnsi="Times New Roman"/>
              <w:bCs w:val="0"/>
              <w:highlight w:val="none"/>
            </w:rPr>
            <w:t>4</w:t>
          </w:r>
          <w:r>
            <w:rPr>
              <w:rFonts w:ascii="Times New Roman" w:hAnsi="Times New Roman"/>
              <w:bCs w:val="0"/>
              <w:highlight w:val="none"/>
            </w:rPr>
            <w:t>.1</w:t>
          </w:r>
          <w:r>
            <w:rPr>
              <w:rFonts w:ascii="Times New Roman" w:hAnsi="Times New Roman"/>
              <w:highlight w:val="none"/>
            </w:rPr>
            <w:t xml:space="preserve"> </w:t>
          </w:r>
          <w:r>
            <w:rPr>
              <w:rFonts w:hint="default" w:ascii="Times New Roman" w:hAnsi="Times New Roman"/>
              <w:highlight w:val="none"/>
              <w:lang w:val="en-US" w:eastAsia="zh-CN"/>
            </w:rPr>
            <w:t>一般规定</w:t>
          </w:r>
          <w:r>
            <w:tab/>
          </w:r>
          <w:r>
            <w:fldChar w:fldCharType="begin"/>
          </w:r>
          <w:r>
            <w:instrText xml:space="preserve"> PAGEREF _Toc26117 \h </w:instrText>
          </w:r>
          <w:r>
            <w:fldChar w:fldCharType="separate"/>
          </w:r>
          <w:r>
            <w:t>6</w:t>
          </w:r>
          <w:r>
            <w:fldChar w:fldCharType="end"/>
          </w:r>
          <w:r>
            <w:rPr>
              <w:rFonts w:hint="eastAsia" w:ascii="宋体" w:hAnsi="宋体" w:cs="宋体"/>
              <w:szCs w:val="21"/>
              <w:highlight w:val="none"/>
            </w:rPr>
            <w:fldChar w:fldCharType="end"/>
          </w:r>
        </w:p>
        <w:p w14:paraId="583CD018">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_Toc12592 </w:instrText>
          </w:r>
          <w:r>
            <w:rPr>
              <w:rFonts w:hint="eastAsia" w:ascii="宋体" w:hAnsi="宋体" w:cs="宋体"/>
              <w:szCs w:val="21"/>
              <w:highlight w:val="none"/>
            </w:rPr>
            <w:fldChar w:fldCharType="separate"/>
          </w:r>
          <w:r>
            <w:rPr>
              <w:rFonts w:hint="default" w:ascii="Times New Roman" w:hAnsi="Times New Roman"/>
              <w:bCs w:val="0"/>
              <w:highlight w:val="none"/>
            </w:rPr>
            <w:t>4.2</w:t>
          </w:r>
          <w:r>
            <w:rPr>
              <w:rFonts w:hint="default" w:ascii="Times New Roman" w:hAnsi="Times New Roman"/>
              <w:highlight w:val="none"/>
            </w:rPr>
            <w:t xml:space="preserve"> </w:t>
          </w:r>
          <w:r>
            <w:rPr>
              <w:rFonts w:hint="default" w:ascii="Times New Roman" w:hAnsi="Times New Roman"/>
              <w:highlight w:val="none"/>
              <w:lang w:val="en-US" w:eastAsia="zh-CN"/>
            </w:rPr>
            <w:t>选型和布置</w:t>
          </w:r>
          <w:r>
            <w:tab/>
          </w:r>
          <w:r>
            <w:fldChar w:fldCharType="begin"/>
          </w:r>
          <w:r>
            <w:instrText xml:space="preserve"> PAGEREF _Toc12592 \h </w:instrText>
          </w:r>
          <w:r>
            <w:fldChar w:fldCharType="separate"/>
          </w:r>
          <w:r>
            <w:t>7</w:t>
          </w:r>
          <w:r>
            <w:fldChar w:fldCharType="end"/>
          </w:r>
          <w:r>
            <w:rPr>
              <w:rFonts w:hint="eastAsia" w:ascii="宋体" w:hAnsi="宋体" w:cs="宋体"/>
              <w:szCs w:val="21"/>
              <w:highlight w:val="none"/>
            </w:rPr>
            <w:fldChar w:fldCharType="end"/>
          </w:r>
        </w:p>
        <w:p w14:paraId="2CC52193">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_Toc12872 </w:instrText>
          </w:r>
          <w:r>
            <w:rPr>
              <w:rFonts w:hint="eastAsia" w:ascii="宋体" w:hAnsi="宋体" w:cs="宋体"/>
              <w:szCs w:val="21"/>
              <w:highlight w:val="none"/>
            </w:rPr>
            <w:fldChar w:fldCharType="separate"/>
          </w:r>
          <w:r>
            <w:rPr>
              <w:rFonts w:hint="default" w:ascii="Times New Roman" w:hAnsi="Times New Roman" w:cs="Times New Roman"/>
              <w:bCs w:val="0"/>
              <w:highlight w:val="none"/>
            </w:rPr>
            <w:t>4.3</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桩基设计</w:t>
          </w:r>
          <w:r>
            <w:tab/>
          </w:r>
          <w:r>
            <w:fldChar w:fldCharType="begin"/>
          </w:r>
          <w:r>
            <w:instrText xml:space="preserve"> PAGEREF _Toc12872 \h </w:instrText>
          </w:r>
          <w:r>
            <w:fldChar w:fldCharType="separate"/>
          </w:r>
          <w:r>
            <w:t>9</w:t>
          </w:r>
          <w:r>
            <w:fldChar w:fldCharType="end"/>
          </w:r>
          <w:r>
            <w:rPr>
              <w:rFonts w:hint="eastAsia" w:ascii="宋体" w:hAnsi="宋体" w:cs="宋体"/>
              <w:szCs w:val="21"/>
              <w:highlight w:val="none"/>
            </w:rPr>
            <w:fldChar w:fldCharType="end"/>
          </w:r>
        </w:p>
        <w:p w14:paraId="0C2BC777">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_Toc28452 </w:instrText>
          </w:r>
          <w:r>
            <w:rPr>
              <w:rFonts w:hint="eastAsia" w:ascii="宋体" w:hAnsi="宋体" w:cs="宋体"/>
              <w:szCs w:val="21"/>
              <w:highlight w:val="none"/>
            </w:rPr>
            <w:fldChar w:fldCharType="separate"/>
          </w:r>
          <w:r>
            <w:rPr>
              <w:rFonts w:hint="default" w:ascii="Times New Roman" w:hAnsi="Times New Roman" w:cs="Times New Roman"/>
              <w:bCs w:val="0"/>
              <w:highlight w:val="none"/>
            </w:rPr>
            <w:t>4.4</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构造</w:t>
          </w:r>
          <w:r>
            <w:rPr>
              <w:rFonts w:hint="eastAsia" w:ascii="Times New Roman" w:hAnsi="Times New Roman" w:cs="Times New Roman"/>
              <w:highlight w:val="none"/>
              <w:lang w:val="en-US" w:eastAsia="zh-CN"/>
            </w:rPr>
            <w:t>要求</w:t>
          </w:r>
          <w:r>
            <w:tab/>
          </w:r>
          <w:r>
            <w:fldChar w:fldCharType="begin"/>
          </w:r>
          <w:r>
            <w:instrText xml:space="preserve"> PAGEREF _Toc28452 \h </w:instrText>
          </w:r>
          <w:r>
            <w:fldChar w:fldCharType="separate"/>
          </w:r>
          <w:r>
            <w:t>20</w:t>
          </w:r>
          <w:r>
            <w:fldChar w:fldCharType="end"/>
          </w:r>
          <w:r>
            <w:rPr>
              <w:rFonts w:hint="eastAsia" w:ascii="宋体" w:hAnsi="宋体" w:cs="宋体"/>
              <w:szCs w:val="21"/>
              <w:highlight w:val="none"/>
            </w:rPr>
            <w:fldChar w:fldCharType="end"/>
          </w:r>
        </w:p>
        <w:p w14:paraId="67AD0451">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_Toc85 </w:instrText>
          </w:r>
          <w:r>
            <w:rPr>
              <w:rFonts w:hint="eastAsia" w:ascii="宋体" w:hAnsi="宋体" w:cs="宋体"/>
              <w:szCs w:val="21"/>
              <w:highlight w:val="none"/>
            </w:rPr>
            <w:fldChar w:fldCharType="separate"/>
          </w:r>
          <w:r>
            <w:rPr>
              <w:rFonts w:hint="default" w:ascii="Times New Roman" w:hAnsi="Times New Roman"/>
              <w:bCs w:val="0"/>
              <w:highlight w:val="none"/>
            </w:rPr>
            <w:t>5</w:t>
          </w:r>
          <w:r>
            <w:rPr>
              <w:rFonts w:ascii="Times New Roman" w:hAnsi="Times New Roman"/>
              <w:highlight w:val="none"/>
            </w:rPr>
            <w:t xml:space="preserve"> </w:t>
          </w:r>
          <w:r>
            <w:rPr>
              <w:rFonts w:hint="default" w:ascii="Times New Roman" w:hAnsi="Times New Roman"/>
              <w:highlight w:val="none"/>
              <w:lang w:val="en-US" w:eastAsia="zh-CN"/>
            </w:rPr>
            <w:t>施工</w:t>
          </w:r>
          <w:r>
            <w:tab/>
          </w:r>
          <w:r>
            <w:fldChar w:fldCharType="begin"/>
          </w:r>
          <w:r>
            <w:instrText xml:space="preserve"> PAGEREF _Toc85 \h </w:instrText>
          </w:r>
          <w:r>
            <w:fldChar w:fldCharType="separate"/>
          </w:r>
          <w:r>
            <w:t>23</w:t>
          </w:r>
          <w:r>
            <w:fldChar w:fldCharType="end"/>
          </w:r>
          <w:r>
            <w:rPr>
              <w:rFonts w:hint="eastAsia" w:ascii="宋体" w:hAnsi="宋体" w:cs="宋体"/>
              <w:szCs w:val="21"/>
              <w:highlight w:val="none"/>
            </w:rPr>
            <w:fldChar w:fldCharType="end"/>
          </w:r>
        </w:p>
        <w:p w14:paraId="2379EFFA">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_Toc7401 </w:instrText>
          </w:r>
          <w:r>
            <w:rPr>
              <w:rFonts w:hint="eastAsia" w:ascii="宋体" w:hAnsi="宋体" w:cs="宋体"/>
              <w:szCs w:val="21"/>
              <w:highlight w:val="none"/>
            </w:rPr>
            <w:fldChar w:fldCharType="separate"/>
          </w:r>
          <w:r>
            <w:rPr>
              <w:rFonts w:hint="default" w:ascii="Times New Roman" w:hAnsi="Times New Roman"/>
              <w:bCs w:val="0"/>
              <w:highlight w:val="none"/>
            </w:rPr>
            <w:t>5.</w:t>
          </w:r>
          <w:r>
            <w:rPr>
              <w:rFonts w:ascii="Times New Roman" w:hAnsi="Times New Roman"/>
              <w:bCs w:val="0"/>
              <w:highlight w:val="none"/>
            </w:rPr>
            <w:t>1</w:t>
          </w:r>
          <w:r>
            <w:rPr>
              <w:rFonts w:ascii="Times New Roman" w:hAnsi="Times New Roman"/>
              <w:highlight w:val="none"/>
            </w:rPr>
            <w:t xml:space="preserve"> </w:t>
          </w:r>
          <w:r>
            <w:rPr>
              <w:rFonts w:hint="default" w:ascii="Times New Roman" w:hAnsi="Times New Roman"/>
              <w:highlight w:val="none"/>
              <w:lang w:val="en-US" w:eastAsia="zh-CN"/>
            </w:rPr>
            <w:t>一般规定</w:t>
          </w:r>
          <w:r>
            <w:tab/>
          </w:r>
          <w:r>
            <w:fldChar w:fldCharType="begin"/>
          </w:r>
          <w:r>
            <w:instrText xml:space="preserve"> PAGEREF _Toc7401 \h </w:instrText>
          </w:r>
          <w:r>
            <w:fldChar w:fldCharType="separate"/>
          </w:r>
          <w:r>
            <w:t>23</w:t>
          </w:r>
          <w:r>
            <w:fldChar w:fldCharType="end"/>
          </w:r>
          <w:r>
            <w:rPr>
              <w:rFonts w:hint="eastAsia" w:ascii="宋体" w:hAnsi="宋体" w:cs="宋体"/>
              <w:szCs w:val="21"/>
              <w:highlight w:val="none"/>
            </w:rPr>
            <w:fldChar w:fldCharType="end"/>
          </w:r>
        </w:p>
        <w:p w14:paraId="78B98C86">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_Toc8295 </w:instrText>
          </w:r>
          <w:r>
            <w:rPr>
              <w:rFonts w:hint="eastAsia" w:ascii="宋体" w:hAnsi="宋体" w:cs="宋体"/>
              <w:szCs w:val="21"/>
              <w:highlight w:val="none"/>
            </w:rPr>
            <w:fldChar w:fldCharType="separate"/>
          </w:r>
          <w:r>
            <w:rPr>
              <w:rFonts w:hint="default" w:ascii="Times New Roman" w:hAnsi="Times New Roman" w:cs="Times New Roman"/>
              <w:bCs w:val="0"/>
              <w:highlight w:val="none"/>
            </w:rPr>
            <w:t>5.2</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施工准备</w:t>
          </w:r>
          <w:r>
            <w:tab/>
          </w:r>
          <w:r>
            <w:fldChar w:fldCharType="begin"/>
          </w:r>
          <w:r>
            <w:instrText xml:space="preserve"> PAGEREF _Toc8295 \h </w:instrText>
          </w:r>
          <w:r>
            <w:fldChar w:fldCharType="separate"/>
          </w:r>
          <w:r>
            <w:t>23</w:t>
          </w:r>
          <w:r>
            <w:fldChar w:fldCharType="end"/>
          </w:r>
          <w:r>
            <w:rPr>
              <w:rFonts w:hint="eastAsia" w:ascii="宋体" w:hAnsi="宋体" w:cs="宋体"/>
              <w:szCs w:val="21"/>
              <w:highlight w:val="none"/>
            </w:rPr>
            <w:fldChar w:fldCharType="end"/>
          </w:r>
        </w:p>
        <w:p w14:paraId="16965738">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_Toc27946 </w:instrText>
          </w:r>
          <w:r>
            <w:rPr>
              <w:rFonts w:hint="eastAsia" w:ascii="宋体" w:hAnsi="宋体" w:cs="宋体"/>
              <w:szCs w:val="21"/>
              <w:highlight w:val="none"/>
            </w:rPr>
            <w:fldChar w:fldCharType="separate"/>
          </w:r>
          <w:r>
            <w:rPr>
              <w:rFonts w:hint="default" w:ascii="Times New Roman" w:hAnsi="Times New Roman" w:cs="Times New Roman"/>
              <w:bCs w:val="0"/>
              <w:highlight w:val="none"/>
            </w:rPr>
            <w:t>5.3</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放样与定位</w:t>
          </w:r>
          <w:r>
            <w:tab/>
          </w:r>
          <w:r>
            <w:fldChar w:fldCharType="begin"/>
          </w:r>
          <w:r>
            <w:instrText xml:space="preserve"> PAGEREF _Toc27946 \h </w:instrText>
          </w:r>
          <w:r>
            <w:fldChar w:fldCharType="separate"/>
          </w:r>
          <w:r>
            <w:t>24</w:t>
          </w:r>
          <w:r>
            <w:fldChar w:fldCharType="end"/>
          </w:r>
          <w:r>
            <w:rPr>
              <w:rFonts w:hint="eastAsia" w:ascii="宋体" w:hAnsi="宋体" w:cs="宋体"/>
              <w:szCs w:val="21"/>
              <w:highlight w:val="none"/>
            </w:rPr>
            <w:fldChar w:fldCharType="end"/>
          </w:r>
        </w:p>
        <w:p w14:paraId="2ED65F53">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_Toc6237 </w:instrText>
          </w:r>
          <w:r>
            <w:rPr>
              <w:rFonts w:hint="eastAsia" w:ascii="宋体" w:hAnsi="宋体" w:cs="宋体"/>
              <w:szCs w:val="21"/>
              <w:highlight w:val="none"/>
            </w:rPr>
            <w:fldChar w:fldCharType="separate"/>
          </w:r>
          <w:r>
            <w:rPr>
              <w:rFonts w:hint="default" w:ascii="Times New Roman" w:hAnsi="Times New Roman" w:cs="Times New Roman"/>
              <w:bCs w:val="0"/>
              <w:highlight w:val="none"/>
            </w:rPr>
            <w:t>5.</w:t>
          </w:r>
          <w:r>
            <w:rPr>
              <w:rFonts w:hint="eastAsia" w:ascii="Times New Roman" w:hAnsi="Times New Roman" w:cs="Times New Roman"/>
              <w:bCs w:val="0"/>
              <w:highlight w:val="none"/>
              <w:lang w:val="en-US" w:eastAsia="zh-CN"/>
            </w:rPr>
            <w:t>4</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搅拌工艺</w:t>
          </w:r>
          <w:r>
            <w:tab/>
          </w:r>
          <w:r>
            <w:fldChar w:fldCharType="begin"/>
          </w:r>
          <w:r>
            <w:instrText xml:space="preserve"> PAGEREF _Toc6237 \h </w:instrText>
          </w:r>
          <w:r>
            <w:fldChar w:fldCharType="separate"/>
          </w:r>
          <w:r>
            <w:t>25</w:t>
          </w:r>
          <w:r>
            <w:fldChar w:fldCharType="end"/>
          </w:r>
          <w:r>
            <w:rPr>
              <w:rFonts w:hint="eastAsia" w:ascii="宋体" w:hAnsi="宋体" w:cs="宋体"/>
              <w:szCs w:val="21"/>
              <w:highlight w:val="none"/>
            </w:rPr>
            <w:fldChar w:fldCharType="end"/>
          </w:r>
        </w:p>
        <w:p w14:paraId="1204967F">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_Toc23745 </w:instrText>
          </w:r>
          <w:r>
            <w:rPr>
              <w:rFonts w:hint="eastAsia" w:ascii="宋体" w:hAnsi="宋体" w:cs="宋体"/>
              <w:szCs w:val="21"/>
              <w:highlight w:val="none"/>
            </w:rPr>
            <w:fldChar w:fldCharType="separate"/>
          </w:r>
          <w:r>
            <w:rPr>
              <w:rFonts w:hint="default" w:ascii="Times New Roman" w:hAnsi="Times New Roman" w:cs="Times New Roman"/>
              <w:bCs w:val="0"/>
              <w:highlight w:val="none"/>
            </w:rPr>
            <w:t>5.</w:t>
          </w:r>
          <w:r>
            <w:rPr>
              <w:rFonts w:hint="eastAsia" w:ascii="Times New Roman" w:hAnsi="Times New Roman" w:cs="Times New Roman"/>
              <w:bCs w:val="0"/>
              <w:highlight w:val="none"/>
              <w:lang w:val="en-US" w:eastAsia="zh-CN"/>
            </w:rPr>
            <w:t>5</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高压旋喷</w:t>
          </w:r>
          <w:r>
            <w:rPr>
              <w:rFonts w:hint="default" w:ascii="Times New Roman" w:hAnsi="Times New Roman" w:cs="Times New Roman"/>
              <w:highlight w:val="none"/>
              <w:lang w:val="en-US" w:eastAsia="zh-CN"/>
            </w:rPr>
            <w:t>工艺</w:t>
          </w:r>
          <w:r>
            <w:tab/>
          </w:r>
          <w:r>
            <w:fldChar w:fldCharType="begin"/>
          </w:r>
          <w:r>
            <w:instrText xml:space="preserve"> PAGEREF _Toc23745 \h </w:instrText>
          </w:r>
          <w:r>
            <w:fldChar w:fldCharType="separate"/>
          </w:r>
          <w:r>
            <w:t>26</w:t>
          </w:r>
          <w:r>
            <w:fldChar w:fldCharType="end"/>
          </w:r>
          <w:r>
            <w:rPr>
              <w:rFonts w:hint="eastAsia" w:ascii="宋体" w:hAnsi="宋体" w:cs="宋体"/>
              <w:szCs w:val="21"/>
              <w:highlight w:val="none"/>
            </w:rPr>
            <w:fldChar w:fldCharType="end"/>
          </w:r>
        </w:p>
        <w:p w14:paraId="2DCC4DAA">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_Toc3662 </w:instrText>
          </w:r>
          <w:r>
            <w:rPr>
              <w:rFonts w:hint="eastAsia" w:ascii="宋体" w:hAnsi="宋体" w:cs="宋体"/>
              <w:szCs w:val="21"/>
              <w:highlight w:val="none"/>
            </w:rPr>
            <w:fldChar w:fldCharType="separate"/>
          </w:r>
          <w:r>
            <w:rPr>
              <w:rFonts w:hint="default" w:ascii="Times New Roman" w:hAnsi="Times New Roman" w:cs="Times New Roman"/>
              <w:bCs w:val="0"/>
              <w:highlight w:val="none"/>
            </w:rPr>
            <w:t>5.</w:t>
          </w:r>
          <w:r>
            <w:rPr>
              <w:rFonts w:hint="eastAsia" w:ascii="Times New Roman" w:hAnsi="Times New Roman" w:cs="Times New Roman"/>
              <w:bCs w:val="0"/>
              <w:highlight w:val="none"/>
              <w:lang w:val="en-US" w:eastAsia="zh-CN"/>
            </w:rPr>
            <w:t>6</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旋挖</w:t>
          </w:r>
          <w:r>
            <w:rPr>
              <w:rFonts w:hint="default" w:ascii="Times New Roman" w:hAnsi="Times New Roman" w:cs="Times New Roman"/>
              <w:highlight w:val="none"/>
              <w:lang w:val="en-US" w:eastAsia="zh-CN"/>
            </w:rPr>
            <w:t>工艺</w:t>
          </w:r>
          <w:r>
            <w:tab/>
          </w:r>
          <w:r>
            <w:fldChar w:fldCharType="begin"/>
          </w:r>
          <w:r>
            <w:instrText xml:space="preserve"> PAGEREF _Toc3662 \h </w:instrText>
          </w:r>
          <w:r>
            <w:fldChar w:fldCharType="separate"/>
          </w:r>
          <w:r>
            <w:t>27</w:t>
          </w:r>
          <w:r>
            <w:fldChar w:fldCharType="end"/>
          </w:r>
          <w:r>
            <w:rPr>
              <w:rFonts w:hint="eastAsia" w:ascii="宋体" w:hAnsi="宋体" w:cs="宋体"/>
              <w:szCs w:val="21"/>
              <w:highlight w:val="none"/>
            </w:rPr>
            <w:fldChar w:fldCharType="end"/>
          </w:r>
        </w:p>
        <w:p w14:paraId="14BA4850">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_Toc19303 </w:instrText>
          </w:r>
          <w:r>
            <w:rPr>
              <w:rFonts w:hint="eastAsia" w:ascii="宋体" w:hAnsi="宋体" w:cs="宋体"/>
              <w:szCs w:val="21"/>
              <w:highlight w:val="none"/>
            </w:rPr>
            <w:fldChar w:fldCharType="separate"/>
          </w:r>
          <w:r>
            <w:rPr>
              <w:rFonts w:hint="default" w:ascii="Times New Roman" w:hAnsi="Times New Roman" w:cs="Times New Roman"/>
              <w:bCs w:val="0"/>
              <w:highlight w:val="none"/>
            </w:rPr>
            <w:t>5.</w:t>
          </w:r>
          <w:r>
            <w:rPr>
              <w:rFonts w:hint="eastAsia" w:ascii="Times New Roman" w:hAnsi="Times New Roman" w:cs="Times New Roman"/>
              <w:bCs w:val="0"/>
              <w:highlight w:val="none"/>
              <w:lang w:val="en-US" w:eastAsia="zh-CN"/>
            </w:rPr>
            <w:t>7</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长螺旋压灌</w:t>
          </w:r>
          <w:r>
            <w:rPr>
              <w:rFonts w:hint="default" w:ascii="Times New Roman" w:hAnsi="Times New Roman" w:cs="Times New Roman"/>
              <w:highlight w:val="none"/>
              <w:lang w:val="en-US" w:eastAsia="zh-CN"/>
            </w:rPr>
            <w:t>工艺</w:t>
          </w:r>
          <w:r>
            <w:tab/>
          </w:r>
          <w:r>
            <w:fldChar w:fldCharType="begin"/>
          </w:r>
          <w:r>
            <w:instrText xml:space="preserve"> PAGEREF _Toc19303 \h </w:instrText>
          </w:r>
          <w:r>
            <w:fldChar w:fldCharType="separate"/>
          </w:r>
          <w:r>
            <w:t>29</w:t>
          </w:r>
          <w:r>
            <w:fldChar w:fldCharType="end"/>
          </w:r>
          <w:r>
            <w:rPr>
              <w:rFonts w:hint="eastAsia" w:ascii="宋体" w:hAnsi="宋体" w:cs="宋体"/>
              <w:szCs w:val="21"/>
              <w:highlight w:val="none"/>
            </w:rPr>
            <w:fldChar w:fldCharType="end"/>
          </w:r>
        </w:p>
        <w:p w14:paraId="2D0BD262">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_Toc29965 </w:instrText>
          </w:r>
          <w:r>
            <w:rPr>
              <w:rFonts w:hint="eastAsia" w:ascii="宋体" w:hAnsi="宋体" w:cs="宋体"/>
              <w:szCs w:val="21"/>
              <w:highlight w:val="none"/>
            </w:rPr>
            <w:fldChar w:fldCharType="separate"/>
          </w:r>
          <w:r>
            <w:rPr>
              <w:rFonts w:hint="default" w:ascii="Times New Roman" w:hAnsi="Times New Roman" w:cs="Times New Roman"/>
              <w:bCs w:val="0"/>
              <w:highlight w:val="none"/>
              <w:lang w:val="en-US" w:eastAsia="zh-CN"/>
            </w:rPr>
            <w:t>5.</w:t>
          </w:r>
          <w:r>
            <w:rPr>
              <w:rFonts w:hint="eastAsia" w:ascii="Times New Roman" w:hAnsi="Times New Roman" w:cs="Times New Roman"/>
              <w:bCs w:val="0"/>
              <w:highlight w:val="none"/>
              <w:lang w:val="en-US" w:eastAsia="zh-CN"/>
            </w:rPr>
            <w:t>8</w:t>
          </w:r>
          <w:r>
            <w:rPr>
              <w:rFonts w:hint="default" w:ascii="Times New Roman" w:hAnsi="Times New Roman" w:cs="Times New Roman"/>
              <w:bCs w:val="0"/>
              <w:highlight w:val="none"/>
              <w:lang w:val="en-US" w:eastAsia="zh-CN"/>
            </w:rPr>
            <w:t xml:space="preserve"> </w:t>
          </w:r>
          <w:r>
            <w:rPr>
              <w:rFonts w:hint="eastAsia" w:ascii="Times New Roman" w:hAnsi="Times New Roman" w:cs="Times New Roman"/>
              <w:bCs w:val="0"/>
              <w:highlight w:val="none"/>
              <w:lang w:val="en-US" w:eastAsia="zh-CN"/>
            </w:rPr>
            <w:t>沉桩与接桩</w:t>
          </w:r>
          <w:r>
            <w:tab/>
          </w:r>
          <w:r>
            <w:fldChar w:fldCharType="begin"/>
          </w:r>
          <w:r>
            <w:instrText xml:space="preserve"> PAGEREF _Toc29965 \h </w:instrText>
          </w:r>
          <w:r>
            <w:fldChar w:fldCharType="separate"/>
          </w:r>
          <w:r>
            <w:t>30</w:t>
          </w:r>
          <w:r>
            <w:fldChar w:fldCharType="end"/>
          </w:r>
          <w:r>
            <w:rPr>
              <w:rFonts w:hint="eastAsia" w:ascii="宋体" w:hAnsi="宋体" w:cs="宋体"/>
              <w:szCs w:val="21"/>
              <w:highlight w:val="none"/>
            </w:rPr>
            <w:fldChar w:fldCharType="end"/>
          </w:r>
        </w:p>
        <w:p w14:paraId="23F31D60">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_Toc4794 </w:instrText>
          </w:r>
          <w:r>
            <w:rPr>
              <w:rFonts w:hint="eastAsia" w:ascii="宋体" w:hAnsi="宋体" w:cs="宋体"/>
              <w:szCs w:val="21"/>
              <w:highlight w:val="none"/>
            </w:rPr>
            <w:fldChar w:fldCharType="separate"/>
          </w:r>
          <w:r>
            <w:rPr>
              <w:rFonts w:hint="default" w:ascii="Times New Roman" w:hAnsi="Times New Roman"/>
              <w:bCs w:val="0"/>
              <w:highlight w:val="none"/>
            </w:rPr>
            <w:t>6</w:t>
          </w:r>
          <w:r>
            <w:rPr>
              <w:rFonts w:ascii="Times New Roman" w:hAnsi="Times New Roman"/>
              <w:highlight w:val="none"/>
            </w:rPr>
            <w:t xml:space="preserve"> </w:t>
          </w:r>
          <w:r>
            <w:rPr>
              <w:rFonts w:hint="default" w:ascii="Times New Roman" w:hAnsi="Times New Roman"/>
              <w:highlight w:val="none"/>
              <w:lang w:val="en-US" w:eastAsia="zh-CN"/>
            </w:rPr>
            <w:t>质量</w:t>
          </w:r>
          <w:r>
            <w:rPr>
              <w:rFonts w:hint="eastAsia" w:ascii="Times New Roman" w:hAnsi="Times New Roman"/>
              <w:highlight w:val="none"/>
              <w:lang w:val="en-US" w:eastAsia="zh-CN"/>
            </w:rPr>
            <w:t>检测</w:t>
          </w:r>
          <w:r>
            <w:rPr>
              <w:rFonts w:hint="default" w:ascii="Times New Roman" w:hAnsi="Times New Roman"/>
              <w:highlight w:val="none"/>
              <w:lang w:val="en-US" w:eastAsia="zh-CN"/>
            </w:rPr>
            <w:t>及验收</w:t>
          </w:r>
          <w:r>
            <w:tab/>
          </w:r>
          <w:r>
            <w:fldChar w:fldCharType="begin"/>
          </w:r>
          <w:r>
            <w:instrText xml:space="preserve"> PAGEREF _Toc4794 \h </w:instrText>
          </w:r>
          <w:r>
            <w:fldChar w:fldCharType="separate"/>
          </w:r>
          <w:r>
            <w:t>34</w:t>
          </w:r>
          <w:r>
            <w:fldChar w:fldCharType="end"/>
          </w:r>
          <w:r>
            <w:rPr>
              <w:rFonts w:hint="eastAsia" w:ascii="宋体" w:hAnsi="宋体" w:cs="宋体"/>
              <w:szCs w:val="21"/>
              <w:highlight w:val="none"/>
            </w:rPr>
            <w:fldChar w:fldCharType="end"/>
          </w:r>
        </w:p>
        <w:p w14:paraId="4287C718">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_Toc29065 </w:instrText>
          </w:r>
          <w:r>
            <w:rPr>
              <w:rFonts w:hint="eastAsia" w:ascii="宋体" w:hAnsi="宋体" w:cs="宋体"/>
              <w:szCs w:val="21"/>
              <w:highlight w:val="none"/>
            </w:rPr>
            <w:fldChar w:fldCharType="separate"/>
          </w:r>
          <w:r>
            <w:rPr>
              <w:rFonts w:hint="default" w:ascii="Times New Roman" w:hAnsi="Times New Roman" w:cs="Times New Roman"/>
              <w:bCs w:val="0"/>
              <w:highlight w:val="none"/>
            </w:rPr>
            <w:t>6.1</w:t>
          </w:r>
          <w:r>
            <w:rPr>
              <w:rFonts w:hint="default" w:ascii="Times New Roman" w:hAnsi="Times New Roman" w:cs="Times New Roman"/>
              <w:highlight w:val="none"/>
            </w:rPr>
            <w:t xml:space="preserve"> 一般规定</w:t>
          </w:r>
          <w:r>
            <w:tab/>
          </w:r>
          <w:r>
            <w:fldChar w:fldCharType="begin"/>
          </w:r>
          <w:r>
            <w:instrText xml:space="preserve"> PAGEREF _Toc29065 \h </w:instrText>
          </w:r>
          <w:r>
            <w:fldChar w:fldCharType="separate"/>
          </w:r>
          <w:r>
            <w:t>34</w:t>
          </w:r>
          <w:r>
            <w:fldChar w:fldCharType="end"/>
          </w:r>
          <w:r>
            <w:rPr>
              <w:rFonts w:hint="eastAsia" w:ascii="宋体" w:hAnsi="宋体" w:cs="宋体"/>
              <w:szCs w:val="21"/>
              <w:highlight w:val="none"/>
            </w:rPr>
            <w:fldChar w:fldCharType="end"/>
          </w:r>
        </w:p>
        <w:p w14:paraId="53EE0036">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_Toc22154 </w:instrText>
          </w:r>
          <w:r>
            <w:rPr>
              <w:rFonts w:hint="eastAsia" w:ascii="宋体" w:hAnsi="宋体" w:cs="宋体"/>
              <w:szCs w:val="21"/>
              <w:highlight w:val="none"/>
            </w:rPr>
            <w:fldChar w:fldCharType="separate"/>
          </w:r>
          <w:r>
            <w:rPr>
              <w:rFonts w:hint="default" w:ascii="Times New Roman" w:hAnsi="Times New Roman"/>
              <w:bCs w:val="0"/>
              <w:highlight w:val="none"/>
            </w:rPr>
            <w:t>6</w:t>
          </w:r>
          <w:r>
            <w:rPr>
              <w:rFonts w:ascii="Times New Roman" w:hAnsi="Times New Roman"/>
              <w:bCs w:val="0"/>
              <w:highlight w:val="none"/>
            </w:rPr>
            <w:t>.2</w:t>
          </w:r>
          <w:r>
            <w:rPr>
              <w:rFonts w:ascii="Times New Roman" w:hAnsi="Times New Roman"/>
              <w:highlight w:val="none"/>
            </w:rPr>
            <w:t xml:space="preserve"> </w:t>
          </w:r>
          <w:r>
            <w:rPr>
              <w:rFonts w:hint="default" w:ascii="Times New Roman" w:hAnsi="Times New Roman"/>
              <w:highlight w:val="none"/>
              <w:lang w:val="en-US" w:eastAsia="zh-CN"/>
            </w:rPr>
            <w:t>施工前检测</w:t>
          </w:r>
          <w:r>
            <w:tab/>
          </w:r>
          <w:r>
            <w:fldChar w:fldCharType="begin"/>
          </w:r>
          <w:r>
            <w:instrText xml:space="preserve"> PAGEREF _Toc22154 \h </w:instrText>
          </w:r>
          <w:r>
            <w:fldChar w:fldCharType="separate"/>
          </w:r>
          <w:r>
            <w:t>34</w:t>
          </w:r>
          <w:r>
            <w:fldChar w:fldCharType="end"/>
          </w:r>
          <w:r>
            <w:rPr>
              <w:rFonts w:hint="eastAsia" w:ascii="宋体" w:hAnsi="宋体" w:cs="宋体"/>
              <w:szCs w:val="21"/>
              <w:highlight w:val="none"/>
            </w:rPr>
            <w:fldChar w:fldCharType="end"/>
          </w:r>
        </w:p>
        <w:p w14:paraId="2DCC30BF">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_Toc26729 </w:instrText>
          </w:r>
          <w:r>
            <w:rPr>
              <w:rFonts w:hint="eastAsia" w:ascii="宋体" w:hAnsi="宋体" w:cs="宋体"/>
              <w:szCs w:val="21"/>
              <w:highlight w:val="none"/>
            </w:rPr>
            <w:fldChar w:fldCharType="separate"/>
          </w:r>
          <w:r>
            <w:rPr>
              <w:rFonts w:hint="default" w:ascii="Times New Roman" w:hAnsi="Times New Roman"/>
              <w:bCs w:val="0"/>
              <w:highlight w:val="none"/>
            </w:rPr>
            <w:t>6</w:t>
          </w:r>
          <w:r>
            <w:rPr>
              <w:rFonts w:ascii="Times New Roman" w:hAnsi="Times New Roman"/>
              <w:bCs w:val="0"/>
              <w:highlight w:val="none"/>
            </w:rPr>
            <w:t>.3</w:t>
          </w:r>
          <w:r>
            <w:rPr>
              <w:rFonts w:ascii="Times New Roman" w:hAnsi="Times New Roman"/>
              <w:highlight w:val="none"/>
            </w:rPr>
            <w:t xml:space="preserve"> </w:t>
          </w:r>
          <w:r>
            <w:rPr>
              <w:rFonts w:hint="default" w:ascii="Times New Roman" w:hAnsi="Times New Roman"/>
              <w:highlight w:val="none"/>
              <w:lang w:val="en-US" w:eastAsia="zh-CN"/>
            </w:rPr>
            <w:t>施工中检测</w:t>
          </w:r>
          <w:r>
            <w:tab/>
          </w:r>
          <w:r>
            <w:fldChar w:fldCharType="begin"/>
          </w:r>
          <w:r>
            <w:instrText xml:space="preserve"> PAGEREF _Toc26729 \h </w:instrText>
          </w:r>
          <w:r>
            <w:fldChar w:fldCharType="separate"/>
          </w:r>
          <w:r>
            <w:t>34</w:t>
          </w:r>
          <w:r>
            <w:fldChar w:fldCharType="end"/>
          </w:r>
          <w:r>
            <w:rPr>
              <w:rFonts w:hint="eastAsia" w:ascii="宋体" w:hAnsi="宋体" w:cs="宋体"/>
              <w:szCs w:val="21"/>
              <w:highlight w:val="none"/>
            </w:rPr>
            <w:fldChar w:fldCharType="end"/>
          </w:r>
        </w:p>
        <w:p w14:paraId="2C14B54C">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_Toc24727 </w:instrText>
          </w:r>
          <w:r>
            <w:rPr>
              <w:rFonts w:hint="eastAsia" w:ascii="宋体" w:hAnsi="宋体" w:cs="宋体"/>
              <w:szCs w:val="21"/>
              <w:highlight w:val="none"/>
            </w:rPr>
            <w:fldChar w:fldCharType="separate"/>
          </w:r>
          <w:r>
            <w:rPr>
              <w:rFonts w:hint="default" w:ascii="Times New Roman" w:hAnsi="Times New Roman"/>
              <w:bCs w:val="0"/>
              <w:highlight w:val="none"/>
            </w:rPr>
            <w:t>6</w:t>
          </w:r>
          <w:r>
            <w:rPr>
              <w:rFonts w:ascii="Times New Roman" w:hAnsi="Times New Roman"/>
              <w:bCs w:val="0"/>
              <w:highlight w:val="none"/>
            </w:rPr>
            <w:t>.4</w:t>
          </w:r>
          <w:r>
            <w:rPr>
              <w:rFonts w:ascii="Times New Roman" w:hAnsi="Times New Roman"/>
              <w:highlight w:val="none"/>
            </w:rPr>
            <w:t xml:space="preserve"> </w:t>
          </w:r>
          <w:r>
            <w:rPr>
              <w:rFonts w:hint="default" w:ascii="Times New Roman" w:hAnsi="Times New Roman"/>
              <w:highlight w:val="none"/>
              <w:lang w:val="en-US" w:eastAsia="zh-CN"/>
            </w:rPr>
            <w:t>施工后检测</w:t>
          </w:r>
          <w:r>
            <w:tab/>
          </w:r>
          <w:r>
            <w:fldChar w:fldCharType="begin"/>
          </w:r>
          <w:r>
            <w:instrText xml:space="preserve"> PAGEREF _Toc24727 \h </w:instrText>
          </w:r>
          <w:r>
            <w:fldChar w:fldCharType="separate"/>
          </w:r>
          <w:r>
            <w:t>35</w:t>
          </w:r>
          <w:r>
            <w:fldChar w:fldCharType="end"/>
          </w:r>
          <w:r>
            <w:rPr>
              <w:rFonts w:hint="eastAsia" w:ascii="宋体" w:hAnsi="宋体" w:cs="宋体"/>
              <w:szCs w:val="21"/>
              <w:highlight w:val="none"/>
            </w:rPr>
            <w:fldChar w:fldCharType="end"/>
          </w:r>
        </w:p>
        <w:p w14:paraId="3C4724D2">
          <w:pPr>
            <w:pStyle w:val="38"/>
            <w:keepNext w:val="0"/>
            <w:keepLines w:val="0"/>
            <w:pageBreakBefore w:val="0"/>
            <w:widowControl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_Toc23897 </w:instrText>
          </w:r>
          <w:r>
            <w:rPr>
              <w:rFonts w:hint="eastAsia" w:ascii="宋体" w:hAnsi="宋体" w:cs="宋体"/>
              <w:szCs w:val="21"/>
              <w:highlight w:val="none"/>
            </w:rPr>
            <w:fldChar w:fldCharType="separate"/>
          </w:r>
          <w:r>
            <w:rPr>
              <w:rFonts w:hint="default" w:ascii="Times New Roman" w:hAnsi="Times New Roman"/>
              <w:bCs w:val="0"/>
              <w:highlight w:val="none"/>
            </w:rPr>
            <w:t>6</w:t>
          </w:r>
          <w:r>
            <w:rPr>
              <w:rFonts w:ascii="Times New Roman" w:hAnsi="Times New Roman"/>
              <w:bCs w:val="0"/>
              <w:highlight w:val="none"/>
            </w:rPr>
            <w:t>.5</w:t>
          </w:r>
          <w:r>
            <w:rPr>
              <w:rFonts w:ascii="Times New Roman" w:hAnsi="Times New Roman"/>
              <w:highlight w:val="none"/>
            </w:rPr>
            <w:t xml:space="preserve"> </w:t>
          </w:r>
          <w:r>
            <w:rPr>
              <w:rFonts w:hint="default" w:ascii="Times New Roman" w:hAnsi="Times New Roman"/>
              <w:highlight w:val="none"/>
              <w:lang w:val="en-US" w:eastAsia="zh-CN"/>
            </w:rPr>
            <w:t>验收</w:t>
          </w:r>
          <w:r>
            <w:tab/>
          </w:r>
          <w:r>
            <w:fldChar w:fldCharType="begin"/>
          </w:r>
          <w:r>
            <w:instrText xml:space="preserve"> PAGEREF _Toc23897 \h </w:instrText>
          </w:r>
          <w:r>
            <w:fldChar w:fldCharType="separate"/>
          </w:r>
          <w:r>
            <w:t>36</w:t>
          </w:r>
          <w:r>
            <w:fldChar w:fldCharType="end"/>
          </w:r>
          <w:r>
            <w:rPr>
              <w:rFonts w:hint="eastAsia" w:ascii="宋体" w:hAnsi="宋体" w:cs="宋体"/>
              <w:szCs w:val="21"/>
              <w:highlight w:val="none"/>
            </w:rPr>
            <w:fldChar w:fldCharType="end"/>
          </w:r>
        </w:p>
        <w:p w14:paraId="5871EF22">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_Toc11038 </w:instrText>
          </w:r>
          <w:r>
            <w:rPr>
              <w:rFonts w:hint="eastAsia" w:ascii="宋体" w:hAnsi="宋体" w:cs="宋体"/>
              <w:szCs w:val="21"/>
              <w:highlight w:val="none"/>
            </w:rPr>
            <w:fldChar w:fldCharType="separate"/>
          </w:r>
          <w:r>
            <w:rPr>
              <w:rFonts w:ascii="Times New Roman" w:hAnsi="Times New Roman"/>
              <w:highlight w:val="none"/>
            </w:rPr>
            <w:t>附录</w:t>
          </w:r>
          <w:r>
            <w:rPr>
              <w:rFonts w:hint="default" w:ascii="Times New Roman" w:hAnsi="Times New Roman"/>
              <w:highlight w:val="none"/>
              <w:lang w:val="en-US" w:eastAsia="zh-CN"/>
            </w:rPr>
            <w:t>A</w:t>
          </w:r>
          <w:r>
            <w:rPr>
              <w:rFonts w:ascii="Times New Roman" w:hAnsi="Times New Roman"/>
              <w:highlight w:val="none"/>
            </w:rPr>
            <w:t xml:space="preserve">  </w:t>
          </w:r>
          <w:r>
            <w:rPr>
              <w:rFonts w:hint="default" w:ascii="Times New Roman" w:hAnsi="Times New Roman"/>
              <w:highlight w:val="none"/>
              <w:lang w:val="en-US" w:eastAsia="zh-CN"/>
            </w:rPr>
            <w:t>预成孔施工记录</w:t>
          </w:r>
          <w:r>
            <w:rPr>
              <w:rFonts w:hint="eastAsia" w:ascii="Times New Roman" w:hAnsi="Times New Roman"/>
              <w:highlight w:val="none"/>
              <w:lang w:val="en-US" w:eastAsia="zh-CN"/>
            </w:rPr>
            <w:t>表</w:t>
          </w:r>
          <w:r>
            <w:tab/>
          </w:r>
          <w:r>
            <w:fldChar w:fldCharType="begin"/>
          </w:r>
          <w:r>
            <w:instrText xml:space="preserve"> PAGEREF _Toc11038 \h </w:instrText>
          </w:r>
          <w:r>
            <w:fldChar w:fldCharType="separate"/>
          </w:r>
          <w:r>
            <w:t>38</w:t>
          </w:r>
          <w:r>
            <w:fldChar w:fldCharType="end"/>
          </w:r>
          <w:r>
            <w:rPr>
              <w:rFonts w:hint="eastAsia" w:ascii="宋体" w:hAnsi="宋体" w:cs="宋体"/>
              <w:szCs w:val="21"/>
              <w:highlight w:val="none"/>
            </w:rPr>
            <w:fldChar w:fldCharType="end"/>
          </w:r>
        </w:p>
        <w:p w14:paraId="39E1BAE4">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_Toc23005 </w:instrText>
          </w:r>
          <w:r>
            <w:rPr>
              <w:rFonts w:hint="eastAsia" w:ascii="宋体" w:hAnsi="宋体" w:cs="宋体"/>
              <w:szCs w:val="21"/>
              <w:highlight w:val="none"/>
            </w:rPr>
            <w:fldChar w:fldCharType="separate"/>
          </w:r>
          <w:r>
            <w:rPr>
              <w:rFonts w:hint="default" w:ascii="Times New Roman" w:hAnsi="Times New Roman"/>
              <w:highlight w:val="none"/>
            </w:rPr>
            <w:t>附录B</w:t>
          </w:r>
          <w:r>
            <w:rPr>
              <w:rFonts w:ascii="Times New Roman" w:hAnsi="Times New Roman"/>
              <w:highlight w:val="none"/>
            </w:rPr>
            <w:t xml:space="preserve"> </w:t>
          </w:r>
          <w:r>
            <w:rPr>
              <w:rFonts w:hint="default" w:ascii="Times New Roman" w:hAnsi="Times New Roman"/>
              <w:highlight w:val="none"/>
            </w:rPr>
            <w:t xml:space="preserve"> 预制桩施工记录表</w:t>
          </w:r>
          <w:r>
            <w:tab/>
          </w:r>
          <w:r>
            <w:fldChar w:fldCharType="begin"/>
          </w:r>
          <w:r>
            <w:instrText xml:space="preserve"> PAGEREF _Toc23005 \h </w:instrText>
          </w:r>
          <w:r>
            <w:fldChar w:fldCharType="separate"/>
          </w:r>
          <w:r>
            <w:t>42</w:t>
          </w:r>
          <w:r>
            <w:fldChar w:fldCharType="end"/>
          </w:r>
          <w:r>
            <w:rPr>
              <w:rFonts w:hint="eastAsia" w:ascii="宋体" w:hAnsi="宋体" w:cs="宋体"/>
              <w:szCs w:val="21"/>
              <w:highlight w:val="none"/>
            </w:rPr>
            <w:fldChar w:fldCharType="end"/>
          </w:r>
        </w:p>
        <w:p w14:paraId="79FE762E">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_Toc6374 </w:instrText>
          </w:r>
          <w:r>
            <w:rPr>
              <w:rFonts w:hint="eastAsia" w:ascii="宋体" w:hAnsi="宋体" w:cs="宋体"/>
              <w:szCs w:val="21"/>
              <w:highlight w:val="none"/>
            </w:rPr>
            <w:fldChar w:fldCharType="separate"/>
          </w:r>
          <w:r>
            <w:rPr>
              <w:rFonts w:hint="eastAsia"/>
              <w:highlight w:val="none"/>
            </w:rPr>
            <w:t>引用标准、规范名录</w:t>
          </w:r>
          <w:r>
            <w:tab/>
          </w:r>
          <w:r>
            <w:fldChar w:fldCharType="begin"/>
          </w:r>
          <w:r>
            <w:instrText xml:space="preserve"> PAGEREF _Toc6374 \h </w:instrText>
          </w:r>
          <w:r>
            <w:fldChar w:fldCharType="separate"/>
          </w:r>
          <w:r>
            <w:t>44</w:t>
          </w:r>
          <w:r>
            <w:fldChar w:fldCharType="end"/>
          </w:r>
          <w:r>
            <w:rPr>
              <w:rFonts w:hint="eastAsia" w:ascii="宋体" w:hAnsi="宋体" w:cs="宋体"/>
              <w:szCs w:val="21"/>
              <w:highlight w:val="none"/>
            </w:rPr>
            <w:fldChar w:fldCharType="end"/>
          </w:r>
        </w:p>
        <w:p w14:paraId="686C8FF6">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_Toc32682 </w:instrText>
          </w:r>
          <w:r>
            <w:rPr>
              <w:rFonts w:hint="eastAsia" w:ascii="宋体" w:hAnsi="宋体" w:cs="宋体"/>
              <w:szCs w:val="21"/>
              <w:highlight w:val="none"/>
            </w:rPr>
            <w:fldChar w:fldCharType="separate"/>
          </w:r>
          <w:r>
            <w:rPr>
              <w:highlight w:val="none"/>
            </w:rPr>
            <w:t>本</w:t>
          </w:r>
          <w:r>
            <w:rPr>
              <w:rFonts w:hint="eastAsia"/>
              <w:highlight w:val="none"/>
              <w:lang w:val="en-US" w:eastAsia="zh-CN"/>
            </w:rPr>
            <w:t>规范</w:t>
          </w:r>
          <w:r>
            <w:rPr>
              <w:highlight w:val="none"/>
            </w:rPr>
            <w:t>用词说明</w:t>
          </w:r>
          <w:r>
            <w:tab/>
          </w:r>
          <w:r>
            <w:fldChar w:fldCharType="begin"/>
          </w:r>
          <w:r>
            <w:instrText xml:space="preserve"> PAGEREF _Toc32682 \h </w:instrText>
          </w:r>
          <w:r>
            <w:fldChar w:fldCharType="separate"/>
          </w:r>
          <w:r>
            <w:t>45</w:t>
          </w:r>
          <w:r>
            <w:fldChar w:fldCharType="end"/>
          </w:r>
          <w:r>
            <w:rPr>
              <w:rFonts w:hint="eastAsia" w:ascii="宋体" w:hAnsi="宋体" w:cs="宋体"/>
              <w:szCs w:val="21"/>
              <w:highlight w:val="none"/>
            </w:rPr>
            <w:fldChar w:fldCharType="end"/>
          </w:r>
        </w:p>
        <w:p w14:paraId="1F275D72">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_Toc3762 </w:instrText>
          </w:r>
          <w:r>
            <w:rPr>
              <w:rFonts w:hint="eastAsia" w:ascii="宋体" w:hAnsi="宋体" w:cs="宋体"/>
              <w:szCs w:val="21"/>
              <w:highlight w:val="none"/>
            </w:rPr>
            <w:fldChar w:fldCharType="separate"/>
          </w:r>
          <w:r>
            <w:rPr>
              <w:rFonts w:hint="eastAsia" w:asciiTheme="minorEastAsia" w:hAnsiTheme="minorEastAsia" w:eastAsiaTheme="minorEastAsia" w:cstheme="minorEastAsia"/>
              <w:szCs w:val="32"/>
              <w:highlight w:val="none"/>
            </w:rPr>
            <w:t>条  文  说  明</w:t>
          </w:r>
          <w:r>
            <w:tab/>
          </w:r>
          <w:r>
            <w:fldChar w:fldCharType="begin"/>
          </w:r>
          <w:r>
            <w:instrText xml:space="preserve"> PAGEREF _Toc3762 \h </w:instrText>
          </w:r>
          <w:r>
            <w:fldChar w:fldCharType="separate"/>
          </w:r>
          <w:r>
            <w:t>46</w:t>
          </w:r>
          <w:r>
            <w:fldChar w:fldCharType="end"/>
          </w:r>
          <w:r>
            <w:rPr>
              <w:rFonts w:hint="eastAsia" w:ascii="宋体" w:hAnsi="宋体" w:cs="宋体"/>
              <w:szCs w:val="21"/>
              <w:highlight w:val="none"/>
            </w:rPr>
            <w:fldChar w:fldCharType="end"/>
          </w:r>
        </w:p>
        <w:p w14:paraId="3041E750">
          <w:pPr>
            <w:pStyle w:val="38"/>
            <w:tabs>
              <w:tab w:val="right" w:leader="dot" w:pos="5896"/>
            </w:tabs>
          </w:pPr>
        </w:p>
        <w:p w14:paraId="7538FB31">
          <w:pPr>
            <w:pStyle w:val="30"/>
            <w:keepNext w:val="0"/>
            <w:keepLines w:val="0"/>
            <w:pageBreakBefore w:val="0"/>
            <w:widowControl w:val="0"/>
            <w:tabs>
              <w:tab w:val="right" w:leader="dot" w:pos="5896"/>
              <w:tab w:val="clear" w:pos="5886"/>
            </w:tabs>
            <w:kinsoku/>
            <w:wordWrap/>
            <w:overflowPunct/>
            <w:topLinePunct w:val="0"/>
            <w:autoSpaceDE/>
            <w:autoSpaceDN/>
            <w:bidi w:val="0"/>
            <w:adjustRightInd/>
            <w:snapToGrid/>
            <w:spacing w:line="240" w:lineRule="exact"/>
            <w:textAlignment w:val="auto"/>
            <w:rPr>
              <w:rFonts w:eastAsia="黑体"/>
              <w:sz w:val="28"/>
              <w:szCs w:val="32"/>
              <w:highlight w:val="none"/>
            </w:rPr>
            <w:sectPr>
              <w:footerReference r:id="rId4" w:type="default"/>
              <w:pgSz w:w="7938" w:h="11510"/>
              <w:pgMar w:top="1418" w:right="1021" w:bottom="1134" w:left="1021" w:header="851" w:footer="851" w:gutter="0"/>
              <w:pgBorders>
                <w:top w:val="none" w:sz="0" w:space="0"/>
                <w:left w:val="none" w:sz="0" w:space="0"/>
                <w:bottom w:val="none" w:sz="0" w:space="0"/>
                <w:right w:val="none" w:sz="0" w:space="0"/>
              </w:pgBorders>
              <w:pgNumType w:start="1"/>
              <w:cols w:space="720" w:num="1"/>
              <w:docGrid w:type="lines" w:linePitch="312" w:charSpace="0"/>
            </w:sectPr>
          </w:pPr>
          <w:r>
            <w:rPr>
              <w:rFonts w:hint="eastAsia" w:ascii="宋体" w:hAnsi="宋体" w:cs="宋体"/>
              <w:szCs w:val="21"/>
              <w:highlight w:val="none"/>
            </w:rPr>
            <w:fldChar w:fldCharType="end"/>
          </w:r>
        </w:p>
      </w:sdtContent>
    </w:sdt>
    <w:p w14:paraId="1753AF80">
      <w:pPr>
        <w:pStyle w:val="2"/>
        <w:spacing w:before="156" w:after="156"/>
        <w:rPr>
          <w:rFonts w:ascii="黑体" w:hAnsi="黑体" w:cs="黑体"/>
          <w:highlight w:val="none"/>
        </w:rPr>
      </w:pPr>
      <w:bookmarkStart w:id="3" w:name="_1 总  则"/>
      <w:r>
        <w:rPr>
          <w:rFonts w:hint="eastAsia" w:ascii="黑体" w:hAnsi="黑体" w:cs="黑体"/>
          <w:highlight w:val="none"/>
        </w:rPr>
        <w:t xml:space="preserve"> </w:t>
      </w:r>
      <w:bookmarkStart w:id="4" w:name="_Toc23504"/>
      <w:bookmarkStart w:id="5" w:name="_Toc27559"/>
      <w:r>
        <w:rPr>
          <w:rFonts w:hint="eastAsia" w:ascii="黑体" w:hAnsi="黑体" w:cs="黑体"/>
          <w:b/>
          <w:bCs w:val="0"/>
          <w:highlight w:val="none"/>
        </w:rPr>
        <w:t>1</w:t>
      </w:r>
      <w:r>
        <w:rPr>
          <w:rFonts w:hint="eastAsia" w:ascii="黑体" w:hAnsi="黑体" w:cs="黑体"/>
          <w:highlight w:val="none"/>
        </w:rPr>
        <w:t xml:space="preserve"> 总  则</w:t>
      </w:r>
      <w:bookmarkEnd w:id="0"/>
      <w:bookmarkEnd w:id="1"/>
      <w:bookmarkEnd w:id="2"/>
      <w:bookmarkEnd w:id="4"/>
      <w:bookmarkEnd w:id="5"/>
    </w:p>
    <w:bookmarkEnd w:id="3"/>
    <w:p w14:paraId="4CB49E59">
      <w:pPr>
        <w:spacing w:line="312" w:lineRule="exact"/>
        <w:rPr>
          <w:rFonts w:ascii="Times New Roman" w:hAnsi="Times New Roman" w:eastAsiaTheme="minorEastAsia"/>
          <w:szCs w:val="21"/>
          <w:highlight w:val="none"/>
        </w:rPr>
      </w:pPr>
      <w:r>
        <w:rPr>
          <w:rFonts w:ascii="Times New Roman" w:hAnsi="Times New Roman" w:eastAsia="黑体"/>
          <w:b/>
          <w:bCs/>
          <w:kern w:val="0"/>
          <w:szCs w:val="21"/>
          <w:highlight w:val="none"/>
        </w:rPr>
        <w:t>1.0.</w:t>
      </w:r>
      <w:r>
        <w:rPr>
          <w:rFonts w:hint="default" w:ascii="Times New Roman" w:hAnsi="Times New Roman" w:eastAsia="黑体"/>
          <w:b/>
          <w:bCs/>
          <w:kern w:val="0"/>
          <w:szCs w:val="21"/>
          <w:highlight w:val="none"/>
          <w:lang w:val="en-US" w:eastAsia="zh-CN"/>
        </w:rPr>
        <w:t>1</w:t>
      </w:r>
      <w:r>
        <w:rPr>
          <w:rFonts w:hint="default" w:ascii="Times New Roman" w:hAnsi="Times New Roman" w:eastAsia="黑体"/>
          <w:kern w:val="0"/>
          <w:szCs w:val="21"/>
          <w:highlight w:val="none"/>
          <w:lang w:val="en-US" w:eastAsia="zh-CN"/>
        </w:rPr>
        <w:t xml:space="preserve"> </w:t>
      </w:r>
      <w:r>
        <w:rPr>
          <w:rFonts w:hint="default" w:ascii="Times New Roman" w:hAnsi="Times New Roman"/>
          <w:bCs/>
          <w:highlight w:val="none"/>
        </w:rPr>
        <w:t>为规范</w:t>
      </w:r>
      <w:r>
        <w:rPr>
          <w:rFonts w:hint="default" w:ascii="Times New Roman" w:hAnsi="Times New Roman" w:eastAsiaTheme="minorEastAsia"/>
          <w:szCs w:val="21"/>
          <w:highlight w:val="none"/>
        </w:rPr>
        <w:t>预制桩植桩</w:t>
      </w:r>
      <w:r>
        <w:rPr>
          <w:rFonts w:hint="eastAsia" w:ascii="Times New Roman" w:hAnsi="Times New Roman" w:eastAsiaTheme="minorEastAsia"/>
          <w:szCs w:val="21"/>
          <w:highlight w:val="none"/>
          <w:lang w:val="en-US" w:eastAsia="zh-CN"/>
        </w:rPr>
        <w:t>的</w:t>
      </w:r>
      <w:r>
        <w:rPr>
          <w:rFonts w:hint="default" w:ascii="Times New Roman" w:hAnsi="Times New Roman" w:eastAsiaTheme="minorEastAsia"/>
          <w:szCs w:val="21"/>
          <w:highlight w:val="none"/>
          <w:lang w:val="en-US" w:eastAsia="zh-CN"/>
        </w:rPr>
        <w:t>应用，</w:t>
      </w:r>
      <w:r>
        <w:rPr>
          <w:rFonts w:hint="default" w:ascii="Times New Roman" w:hAnsi="Times New Roman" w:eastAsiaTheme="minorEastAsia"/>
          <w:szCs w:val="21"/>
          <w:highlight w:val="none"/>
        </w:rPr>
        <w:t>贯彻执行国家的技术经济政策，做到技术先进、安全适用、经济合理、</w:t>
      </w:r>
      <w:r>
        <w:rPr>
          <w:rFonts w:hint="eastAsia" w:ascii="Times New Roman" w:hAnsi="Times New Roman" w:eastAsiaTheme="minorEastAsia"/>
          <w:szCs w:val="21"/>
          <w:highlight w:val="none"/>
          <w:lang w:val="en-US" w:eastAsia="zh-CN"/>
        </w:rPr>
        <w:t>确保</w:t>
      </w:r>
      <w:r>
        <w:rPr>
          <w:rFonts w:hint="default" w:ascii="Times New Roman" w:hAnsi="Times New Roman" w:eastAsiaTheme="minorEastAsia"/>
          <w:szCs w:val="21"/>
          <w:highlight w:val="none"/>
        </w:rPr>
        <w:t>质量、保护环境，制定本规范。</w:t>
      </w:r>
    </w:p>
    <w:p w14:paraId="78160EB9">
      <w:pPr>
        <w:pStyle w:val="16"/>
        <w:rPr>
          <w:rFonts w:hint="default" w:ascii="Times New Roman" w:hAnsi="Times New Roman" w:eastAsiaTheme="minorEastAsia"/>
          <w:szCs w:val="21"/>
          <w:highlight w:val="none"/>
        </w:rPr>
      </w:pPr>
      <w:r>
        <w:rPr>
          <w:rFonts w:ascii="Times New Roman" w:hAnsi="Times New Roman" w:eastAsia="黑体"/>
          <w:b/>
          <w:bCs/>
          <w:kern w:val="0"/>
          <w:szCs w:val="21"/>
          <w:highlight w:val="none"/>
        </w:rPr>
        <w:t>1.0.</w:t>
      </w:r>
      <w:r>
        <w:rPr>
          <w:rFonts w:hint="default" w:ascii="Times New Roman" w:hAnsi="Times New Roman" w:eastAsia="黑体"/>
          <w:b/>
          <w:bCs/>
          <w:kern w:val="0"/>
          <w:szCs w:val="21"/>
          <w:highlight w:val="none"/>
          <w:lang w:val="en-US" w:eastAsia="zh-CN"/>
        </w:rPr>
        <w:t>2</w:t>
      </w:r>
      <w:r>
        <w:rPr>
          <w:rFonts w:ascii="Times New Roman" w:hAnsi="Times New Roman" w:eastAsiaTheme="minorEastAsia"/>
          <w:b/>
          <w:szCs w:val="21"/>
          <w:highlight w:val="none"/>
        </w:rPr>
        <w:t xml:space="preserve"> </w:t>
      </w:r>
      <w:r>
        <w:rPr>
          <w:rFonts w:hint="default" w:ascii="Times New Roman" w:hAnsi="Times New Roman" w:eastAsiaTheme="minorEastAsia"/>
          <w:szCs w:val="21"/>
          <w:highlight w:val="none"/>
        </w:rPr>
        <w:t>本规范适用于</w:t>
      </w:r>
      <w:r>
        <w:rPr>
          <w:rFonts w:hint="default" w:ascii="Times New Roman" w:hAnsi="Times New Roman" w:eastAsiaTheme="minorEastAsia"/>
          <w:strike w:val="0"/>
          <w:dstrike w:val="0"/>
          <w:szCs w:val="21"/>
          <w:highlight w:val="none"/>
          <w:lang w:val="en-US" w:eastAsia="zh-CN"/>
        </w:rPr>
        <w:t>石油化工行业</w:t>
      </w:r>
      <w:r>
        <w:rPr>
          <w:rFonts w:hint="eastAsia"/>
          <w:lang w:val="en-US" w:eastAsia="zh-CN"/>
        </w:rPr>
        <w:t>新建、改建、扩建工程</w:t>
      </w:r>
      <w:r>
        <w:rPr>
          <w:rFonts w:hint="default" w:ascii="Times New Roman" w:hAnsi="Times New Roman" w:eastAsiaTheme="minorEastAsia"/>
          <w:szCs w:val="21"/>
          <w:highlight w:val="none"/>
        </w:rPr>
        <w:t>中</w:t>
      </w:r>
      <w:r>
        <w:rPr>
          <w:rFonts w:hint="eastAsia" w:ascii="Times New Roman" w:hAnsi="Times New Roman" w:eastAsiaTheme="minorEastAsia"/>
          <w:szCs w:val="21"/>
          <w:highlight w:val="none"/>
          <w:lang w:val="en-US" w:eastAsia="zh-CN"/>
        </w:rPr>
        <w:t>的低承台</w:t>
      </w:r>
      <w:r>
        <w:rPr>
          <w:rFonts w:hint="default" w:ascii="Times New Roman" w:hAnsi="Times New Roman" w:eastAsiaTheme="minorEastAsia"/>
          <w:szCs w:val="21"/>
          <w:highlight w:val="none"/>
        </w:rPr>
        <w:t>预制桩植桩的设计、施工、质量检测</w:t>
      </w:r>
      <w:r>
        <w:rPr>
          <w:rFonts w:hint="default" w:ascii="Times New Roman" w:hAnsi="Times New Roman" w:eastAsiaTheme="minorEastAsia"/>
          <w:szCs w:val="21"/>
          <w:highlight w:val="none"/>
          <w:lang w:val="en-US" w:eastAsia="zh-CN"/>
        </w:rPr>
        <w:t>及</w:t>
      </w:r>
      <w:r>
        <w:rPr>
          <w:rFonts w:hint="default" w:ascii="Times New Roman" w:hAnsi="Times New Roman" w:eastAsiaTheme="minorEastAsia"/>
          <w:szCs w:val="21"/>
          <w:highlight w:val="none"/>
        </w:rPr>
        <w:t>验收。</w:t>
      </w:r>
    </w:p>
    <w:p w14:paraId="0EBD63B2">
      <w:pPr>
        <w:spacing w:line="312" w:lineRule="exact"/>
        <w:rPr>
          <w:rFonts w:hint="default" w:ascii="Times New Roman" w:hAnsi="Times New Roman" w:eastAsiaTheme="minorEastAsia"/>
          <w:szCs w:val="21"/>
          <w:highlight w:val="none"/>
          <w:lang w:val="en-US" w:eastAsia="zh-CN"/>
        </w:rPr>
      </w:pPr>
      <w:r>
        <w:rPr>
          <w:rFonts w:ascii="Times New Roman" w:hAnsi="Times New Roman" w:eastAsia="黑体"/>
          <w:b/>
          <w:bCs/>
          <w:kern w:val="0"/>
          <w:szCs w:val="21"/>
          <w:highlight w:val="none"/>
        </w:rPr>
        <w:t>1.0.</w:t>
      </w:r>
      <w:r>
        <w:rPr>
          <w:rFonts w:hint="default" w:ascii="Times New Roman" w:hAnsi="Times New Roman" w:eastAsia="黑体"/>
          <w:b/>
          <w:bCs/>
          <w:kern w:val="0"/>
          <w:szCs w:val="21"/>
          <w:highlight w:val="none"/>
          <w:lang w:val="en-US" w:eastAsia="zh-CN"/>
        </w:rPr>
        <w:t>3</w:t>
      </w:r>
      <w:r>
        <w:rPr>
          <w:rFonts w:ascii="Times New Roman" w:hAnsi="Times New Roman" w:eastAsiaTheme="minorEastAsia"/>
          <w:b/>
          <w:szCs w:val="21"/>
          <w:highlight w:val="none"/>
        </w:rPr>
        <w:t xml:space="preserve"> </w:t>
      </w:r>
      <w:r>
        <w:rPr>
          <w:rFonts w:hint="default" w:ascii="Times New Roman" w:hAnsi="Times New Roman" w:eastAsiaTheme="minorEastAsia"/>
          <w:szCs w:val="21"/>
          <w:highlight w:val="none"/>
        </w:rPr>
        <w:t>预制桩植桩应综合分析地质条件、上部结构与荷载特征、施工条件、</w:t>
      </w:r>
      <w:r>
        <w:rPr>
          <w:rFonts w:hint="eastAsia" w:ascii="Times New Roman" w:hAnsi="Times New Roman" w:eastAsiaTheme="minorEastAsia"/>
          <w:szCs w:val="21"/>
          <w:highlight w:val="none"/>
          <w:lang w:val="en-US" w:eastAsia="zh-CN"/>
        </w:rPr>
        <w:t>场地</w:t>
      </w:r>
      <w:r>
        <w:rPr>
          <w:rFonts w:hint="default" w:ascii="Times New Roman" w:hAnsi="Times New Roman" w:eastAsiaTheme="minorEastAsia"/>
          <w:szCs w:val="21"/>
          <w:highlight w:val="none"/>
        </w:rPr>
        <w:t>环境等因素，因地制宜，选择相应的成桩材料和施工工艺。</w:t>
      </w:r>
    </w:p>
    <w:p w14:paraId="1ECC6FBE">
      <w:pPr>
        <w:spacing w:line="312" w:lineRule="exact"/>
        <w:rPr>
          <w:rFonts w:ascii="Times New Roman" w:hAnsi="Times New Roman" w:eastAsiaTheme="minorEastAsia"/>
          <w:szCs w:val="21"/>
          <w:highlight w:val="none"/>
        </w:rPr>
      </w:pPr>
      <w:r>
        <w:rPr>
          <w:rFonts w:ascii="Times New Roman" w:hAnsi="Times New Roman" w:eastAsia="黑体"/>
          <w:b/>
          <w:bCs/>
          <w:kern w:val="0"/>
          <w:szCs w:val="21"/>
          <w:highlight w:val="none"/>
        </w:rPr>
        <w:t>1.0.</w:t>
      </w:r>
      <w:r>
        <w:rPr>
          <w:rFonts w:hint="default" w:ascii="Times New Roman" w:hAnsi="Times New Roman" w:eastAsia="黑体"/>
          <w:b/>
          <w:bCs/>
          <w:kern w:val="0"/>
          <w:szCs w:val="21"/>
          <w:highlight w:val="none"/>
          <w:lang w:val="en-US" w:eastAsia="zh-CN"/>
        </w:rPr>
        <w:t>4</w:t>
      </w:r>
      <w:r>
        <w:rPr>
          <w:rFonts w:ascii="Times New Roman" w:hAnsi="Times New Roman" w:eastAsiaTheme="minorEastAsia"/>
          <w:b/>
          <w:szCs w:val="21"/>
          <w:highlight w:val="none"/>
        </w:rPr>
        <w:t xml:space="preserve"> </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预制桩植桩的设计、施工、质量检测</w:t>
      </w:r>
      <w:r>
        <w:rPr>
          <w:rFonts w:hint="default" w:ascii="Times New Roman" w:hAnsi="Times New Roman" w:eastAsiaTheme="minorEastAsia"/>
          <w:szCs w:val="21"/>
          <w:highlight w:val="none"/>
          <w:lang w:val="en-US" w:eastAsia="zh-CN"/>
        </w:rPr>
        <w:t>及</w:t>
      </w:r>
      <w:r>
        <w:rPr>
          <w:rFonts w:hint="default" w:ascii="Times New Roman" w:hAnsi="Times New Roman" w:eastAsiaTheme="minorEastAsia"/>
          <w:szCs w:val="21"/>
          <w:highlight w:val="none"/>
        </w:rPr>
        <w:t>验收除应符合本规范外，尚应符合国家现行有关标准的规定。</w:t>
      </w:r>
    </w:p>
    <w:p w14:paraId="05031B1A">
      <w:pPr>
        <w:spacing w:line="312" w:lineRule="exact"/>
        <w:rPr>
          <w:rFonts w:ascii="Times New Roman" w:hAnsi="Times New Roman" w:eastAsia="方正书宋简体"/>
          <w:szCs w:val="21"/>
          <w:highlight w:val="none"/>
        </w:rPr>
      </w:pPr>
    </w:p>
    <w:p w14:paraId="3B026CC5">
      <w:pPr>
        <w:pStyle w:val="2"/>
        <w:spacing w:before="156" w:after="156"/>
        <w:rPr>
          <w:rFonts w:ascii="Times New Roman" w:hAnsi="Times New Roman"/>
          <w:highlight w:val="none"/>
        </w:rPr>
      </w:pPr>
      <w:bookmarkStart w:id="6" w:name="__x000F_2 术语和符号"/>
      <w:r>
        <w:rPr>
          <w:rFonts w:ascii="Times New Roman" w:hAnsi="Times New Roman"/>
          <w:szCs w:val="21"/>
          <w:highlight w:val="none"/>
        </w:rPr>
        <w:br w:type="page"/>
      </w:r>
      <w:bookmarkStart w:id="7" w:name="_Toc244658481"/>
      <w:bookmarkStart w:id="8" w:name="_Toc244658847"/>
      <w:bookmarkStart w:id="9" w:name="_Toc246820948"/>
      <w:bookmarkStart w:id="10" w:name="_Toc246392732"/>
      <w:bookmarkStart w:id="11" w:name="_Toc245028930"/>
      <w:bookmarkStart w:id="12" w:name="_Toc245029133"/>
      <w:bookmarkStart w:id="13" w:name="_Toc19899"/>
      <w:bookmarkStart w:id="14" w:name="_Toc478810133"/>
      <w:bookmarkStart w:id="15" w:name="_Toc478803275"/>
      <w:bookmarkStart w:id="16" w:name="_Toc14396"/>
      <w:bookmarkStart w:id="17" w:name="_Toc1893"/>
      <w:r>
        <w:rPr>
          <w:rFonts w:ascii="Times New Roman" w:hAnsi="Times New Roman"/>
          <w:b/>
          <w:bCs w:val="0"/>
          <w:highlight w:val="none"/>
        </w:rPr>
        <w:t>2</w:t>
      </w:r>
      <w:r>
        <w:rPr>
          <w:rFonts w:ascii="Times New Roman" w:hAnsi="Times New Roman"/>
          <w:highlight w:val="none"/>
        </w:rPr>
        <w:t xml:space="preserve"> </w:t>
      </w:r>
      <w:bookmarkEnd w:id="7"/>
      <w:bookmarkEnd w:id="8"/>
      <w:bookmarkEnd w:id="9"/>
      <w:bookmarkEnd w:id="10"/>
      <w:bookmarkEnd w:id="11"/>
      <w:bookmarkEnd w:id="12"/>
      <w:r>
        <w:rPr>
          <w:rFonts w:ascii="Times New Roman" w:hAnsi="Times New Roman"/>
          <w:highlight w:val="none"/>
        </w:rPr>
        <w:t>术语和符号</w:t>
      </w:r>
      <w:bookmarkEnd w:id="13"/>
      <w:bookmarkEnd w:id="14"/>
      <w:bookmarkEnd w:id="15"/>
      <w:bookmarkEnd w:id="16"/>
      <w:bookmarkEnd w:id="17"/>
    </w:p>
    <w:bookmarkEnd w:id="6"/>
    <w:p w14:paraId="29B62EC0">
      <w:pPr>
        <w:pStyle w:val="3"/>
        <w:spacing w:before="312" w:after="312"/>
        <w:rPr>
          <w:rFonts w:ascii="Times New Roman" w:hAnsi="Times New Roman"/>
          <w:highlight w:val="none"/>
        </w:rPr>
      </w:pPr>
      <w:bookmarkStart w:id="18" w:name="_Toc2431"/>
      <w:bookmarkStart w:id="19" w:name="_Toc11628"/>
      <w:bookmarkStart w:id="20" w:name="_Toc478810134"/>
      <w:bookmarkStart w:id="21" w:name="_Toc4551"/>
      <w:bookmarkStart w:id="22" w:name="_Toc478803276"/>
      <w:bookmarkStart w:id="23" w:name="_2.1 术  语"/>
      <w:r>
        <w:rPr>
          <w:rFonts w:hint="default" w:ascii="Times New Roman" w:hAnsi="Times New Roman"/>
          <w:b/>
          <w:bCs w:val="0"/>
          <w:highlight w:val="none"/>
        </w:rPr>
        <w:t>2.</w:t>
      </w:r>
      <w:r>
        <w:rPr>
          <w:rFonts w:hint="default" w:ascii="Times New Roman" w:hAnsi="Times New Roman"/>
          <w:b/>
          <w:bCs w:val="0"/>
          <w:highlight w:val="none"/>
          <w:lang w:val="en-US" w:eastAsia="zh-CN"/>
        </w:rPr>
        <w:t>1</w:t>
      </w:r>
      <w:r>
        <w:rPr>
          <w:rFonts w:hint="default" w:ascii="Times New Roman" w:hAnsi="Times New Roman" w:eastAsia="黑体" w:cs="Times New Roman"/>
          <w:b/>
          <w:bCs/>
          <w:kern w:val="0"/>
          <w:sz w:val="21"/>
          <w:szCs w:val="21"/>
          <w:highlight w:val="none"/>
          <w:lang w:val="en-US" w:eastAsia="zh-CN" w:bidi="ar-SA"/>
        </w:rPr>
        <w:t xml:space="preserve"> </w:t>
      </w:r>
      <w:r>
        <w:rPr>
          <w:rFonts w:hint="default" w:ascii="Times New Roman" w:hAnsi="Times New Roman"/>
          <w:highlight w:val="none"/>
        </w:rPr>
        <w:t xml:space="preserve">术  </w:t>
      </w:r>
      <w:r>
        <w:rPr>
          <w:rFonts w:ascii="Times New Roman" w:hAnsi="Times New Roman"/>
          <w:highlight w:val="none"/>
        </w:rPr>
        <w:t>语</w:t>
      </w:r>
      <w:bookmarkEnd w:id="18"/>
      <w:bookmarkEnd w:id="19"/>
      <w:bookmarkEnd w:id="20"/>
      <w:bookmarkEnd w:id="21"/>
      <w:bookmarkEnd w:id="22"/>
    </w:p>
    <w:bookmarkEnd w:id="23"/>
    <w:p w14:paraId="00060BCB">
      <w:pPr>
        <w:spacing w:line="312" w:lineRule="exact"/>
        <w:rPr>
          <w:rFonts w:ascii="Times New Roman" w:hAnsi="Times New Roman" w:eastAsiaTheme="minorEastAsia"/>
          <w:szCs w:val="21"/>
          <w:highlight w:val="none"/>
        </w:rPr>
      </w:pPr>
      <w:r>
        <w:rPr>
          <w:rFonts w:ascii="Times New Roman" w:hAnsi="Times New Roman" w:eastAsia="黑体"/>
          <w:b/>
          <w:bCs/>
          <w:kern w:val="0"/>
          <w:szCs w:val="21"/>
          <w:highlight w:val="none"/>
        </w:rPr>
        <w:t>2.1.1</w:t>
      </w:r>
      <w:r>
        <w:rPr>
          <w:rFonts w:ascii="Times New Roman" w:hAnsi="Times New Roman" w:eastAsiaTheme="minorEastAsia"/>
          <w:szCs w:val="21"/>
          <w:highlight w:val="none"/>
        </w:rPr>
        <w:t xml:space="preserve"> </w:t>
      </w:r>
      <w:r>
        <w:rPr>
          <w:rFonts w:hint="eastAsia" w:ascii="Times New Roman" w:hAnsi="Times New Roman" w:eastAsiaTheme="minorEastAsia"/>
          <w:strike w:val="0"/>
          <w:dstrike w:val="0"/>
          <w:szCs w:val="21"/>
          <w:highlight w:val="none"/>
          <w:lang w:val="en-US" w:eastAsia="zh-CN"/>
        </w:rPr>
        <w:t>预制桩植桩</w:t>
      </w:r>
      <w:r>
        <w:rPr>
          <w:rFonts w:hint="default"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lang w:val="en-US" w:eastAsia="zh-CN"/>
        </w:rPr>
        <w:t xml:space="preserve">prefabricated pile planting </w:t>
      </w:r>
    </w:p>
    <w:p w14:paraId="16374964">
      <w:pPr>
        <w:spacing w:line="312" w:lineRule="exact"/>
        <w:ind w:firstLine="420" w:firstLineChars="200"/>
        <w:rPr>
          <w:rFonts w:hint="eastAsia" w:ascii="Times New Roman" w:hAnsi="Times New Roman" w:eastAsiaTheme="minorEastAsia"/>
          <w:szCs w:val="21"/>
          <w:highlight w:val="none"/>
          <w:lang w:eastAsia="zh-CN"/>
        </w:rPr>
      </w:pPr>
      <w:r>
        <w:rPr>
          <w:rFonts w:hint="default" w:ascii="Times New Roman" w:hAnsi="Times New Roman" w:eastAsiaTheme="minorEastAsia"/>
          <w:szCs w:val="21"/>
          <w:highlight w:val="none"/>
        </w:rPr>
        <w:t>预先采用搅拌</w:t>
      </w:r>
      <w:r>
        <w:rPr>
          <w:rFonts w:hint="eastAsia" w:ascii="Times New Roman" w:hAnsi="Times New Roman" w:eastAsiaTheme="minorEastAsia"/>
          <w:szCs w:val="21"/>
          <w:highlight w:val="none"/>
          <w:lang w:eastAsia="zh-CN"/>
        </w:rPr>
        <w:t>、</w:t>
      </w:r>
      <w:r>
        <w:rPr>
          <w:rFonts w:hint="eastAsia" w:ascii="Times New Roman" w:hAnsi="Times New Roman" w:eastAsiaTheme="minorEastAsia"/>
          <w:szCs w:val="21"/>
          <w:highlight w:val="none"/>
          <w:lang w:val="en-US" w:eastAsia="zh-CN"/>
        </w:rPr>
        <w:t>高压</w:t>
      </w:r>
      <w:r>
        <w:rPr>
          <w:rFonts w:hint="default" w:ascii="Times New Roman" w:hAnsi="Times New Roman" w:eastAsiaTheme="minorEastAsia"/>
          <w:szCs w:val="21"/>
          <w:highlight w:val="none"/>
        </w:rPr>
        <w:t>旋喷</w:t>
      </w:r>
      <w:r>
        <w:rPr>
          <w:rFonts w:hint="eastAsia" w:ascii="Times New Roman" w:hAnsi="Times New Roman" w:eastAsiaTheme="minorEastAsia"/>
          <w:szCs w:val="21"/>
          <w:highlight w:val="none"/>
          <w:lang w:val="en-US" w:eastAsia="zh-CN"/>
        </w:rPr>
        <w:t>、旋挖灌注、长螺旋压灌等</w:t>
      </w:r>
      <w:r>
        <w:rPr>
          <w:rFonts w:hint="default" w:ascii="Times New Roman" w:hAnsi="Times New Roman" w:eastAsiaTheme="minorEastAsia"/>
          <w:szCs w:val="21"/>
          <w:highlight w:val="none"/>
        </w:rPr>
        <w:t>工艺</w:t>
      </w:r>
      <w:r>
        <w:rPr>
          <w:rFonts w:hint="eastAsia" w:ascii="Times New Roman" w:hAnsi="Times New Roman" w:eastAsiaTheme="minorEastAsia"/>
          <w:szCs w:val="21"/>
          <w:highlight w:val="none"/>
          <w:lang w:val="en-US" w:eastAsia="zh-CN"/>
        </w:rPr>
        <w:t>形成外芯</w:t>
      </w:r>
      <w:r>
        <w:rPr>
          <w:rFonts w:hint="default" w:ascii="Times New Roman" w:hAnsi="Times New Roman" w:eastAsiaTheme="minorEastAsia"/>
          <w:szCs w:val="21"/>
          <w:highlight w:val="none"/>
        </w:rPr>
        <w:t>，而后</w:t>
      </w:r>
      <w:r>
        <w:rPr>
          <w:rFonts w:hint="eastAsia" w:ascii="Times New Roman" w:hAnsi="Times New Roman" w:eastAsiaTheme="minorEastAsia"/>
          <w:szCs w:val="21"/>
          <w:highlight w:val="none"/>
          <w:lang w:val="en-US" w:eastAsia="zh-CN"/>
        </w:rPr>
        <w:t>采用</w:t>
      </w:r>
      <w:r>
        <w:rPr>
          <w:rFonts w:hint="default" w:ascii="Times New Roman" w:hAnsi="Times New Roman" w:eastAsiaTheme="minorEastAsia"/>
          <w:szCs w:val="21"/>
          <w:highlight w:val="none"/>
        </w:rPr>
        <w:t>打入、压入或振入</w:t>
      </w:r>
      <w:r>
        <w:rPr>
          <w:rFonts w:hint="eastAsia" w:ascii="Times New Roman" w:hAnsi="Times New Roman" w:eastAsiaTheme="minorEastAsia"/>
          <w:szCs w:val="21"/>
          <w:highlight w:val="none"/>
          <w:lang w:val="en-US" w:eastAsia="zh-CN"/>
        </w:rPr>
        <w:t>的方式将混凝土预制桩植入其中而形成的复合桩</w:t>
      </w:r>
      <w:r>
        <w:rPr>
          <w:rFonts w:hint="eastAsia" w:ascii="Times New Roman" w:hAnsi="Times New Roman" w:eastAsiaTheme="minorEastAsia"/>
          <w:szCs w:val="21"/>
          <w:highlight w:val="none"/>
          <w:lang w:eastAsia="zh-CN"/>
        </w:rPr>
        <w:t>（</w:t>
      </w:r>
      <w:r>
        <w:rPr>
          <w:rFonts w:hint="eastAsia" w:ascii="Times New Roman" w:hAnsi="Times New Roman" w:eastAsiaTheme="minorEastAsia"/>
          <w:szCs w:val="21"/>
          <w:highlight w:val="none"/>
          <w:lang w:val="en-US" w:eastAsia="zh-CN"/>
        </w:rPr>
        <w:t>简称植桩</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w:t>
      </w:r>
    </w:p>
    <w:p w14:paraId="64B5CE72">
      <w:pPr>
        <w:spacing w:line="312" w:lineRule="exact"/>
        <w:rPr>
          <w:rFonts w:ascii="Times New Roman" w:hAnsi="Times New Roman" w:eastAsiaTheme="minorEastAsia"/>
          <w:szCs w:val="21"/>
          <w:highlight w:val="none"/>
        </w:rPr>
      </w:pPr>
      <w:r>
        <w:rPr>
          <w:rFonts w:ascii="Times New Roman" w:hAnsi="Times New Roman" w:eastAsia="黑体"/>
          <w:b/>
          <w:bCs/>
          <w:kern w:val="0"/>
          <w:szCs w:val="21"/>
          <w:highlight w:val="none"/>
        </w:rPr>
        <w:t>2.1.</w:t>
      </w:r>
      <w:r>
        <w:rPr>
          <w:rFonts w:hint="eastAsia" w:ascii="Times New Roman" w:hAnsi="Times New Roman" w:eastAsia="黑体"/>
          <w:b/>
          <w:bCs/>
          <w:kern w:val="0"/>
          <w:szCs w:val="21"/>
          <w:highlight w:val="none"/>
          <w:lang w:val="en-US" w:eastAsia="zh-CN"/>
        </w:rPr>
        <w:t>2</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搅拌植桩</w:t>
      </w:r>
      <w:r>
        <w:rPr>
          <w:rFonts w:hint="default" w:ascii="Times New Roman" w:hAnsi="Times New Roman" w:eastAsiaTheme="minorEastAsia"/>
          <w:szCs w:val="21"/>
          <w:highlight w:val="none"/>
          <w:lang w:val="en-US" w:eastAsia="zh-CN"/>
        </w:rPr>
        <w:t xml:space="preserve">  m</w:t>
      </w:r>
      <w:r>
        <w:rPr>
          <w:rFonts w:hint="default" w:ascii="Times New Roman" w:hAnsi="Times New Roman" w:eastAsiaTheme="minorEastAsia"/>
          <w:szCs w:val="21"/>
          <w:highlight w:val="none"/>
        </w:rPr>
        <w:t xml:space="preserve">ixing pile planting </w:t>
      </w:r>
    </w:p>
    <w:p w14:paraId="541E0166">
      <w:pPr>
        <w:spacing w:line="312" w:lineRule="exact"/>
        <w:ind w:firstLine="420" w:firstLineChars="200"/>
        <w:rPr>
          <w:rFonts w:hint="default" w:ascii="Times New Roman" w:hAnsi="Times New Roman" w:eastAsiaTheme="minorEastAsia"/>
          <w:szCs w:val="21"/>
          <w:highlight w:val="none"/>
        </w:rPr>
      </w:pPr>
      <w:r>
        <w:rPr>
          <w:rFonts w:hint="default" w:ascii="Times New Roman" w:hAnsi="Times New Roman" w:eastAsiaTheme="minorEastAsia"/>
          <w:szCs w:val="21"/>
          <w:highlight w:val="none"/>
        </w:rPr>
        <w:t>预先采用搅拌工艺形成水</w:t>
      </w:r>
      <w:r>
        <w:rPr>
          <w:rFonts w:hint="eastAsia" w:ascii="Times New Roman" w:hAnsi="Times New Roman" w:eastAsiaTheme="minorEastAsia"/>
          <w:szCs w:val="21"/>
          <w:highlight w:val="none"/>
          <w:lang w:eastAsia="zh-CN"/>
        </w:rPr>
        <w:t>泥土或固化土</w:t>
      </w:r>
      <w:r>
        <w:rPr>
          <w:rFonts w:hint="default" w:ascii="Times New Roman" w:hAnsi="Times New Roman" w:eastAsiaTheme="minorEastAsia"/>
          <w:szCs w:val="21"/>
          <w:highlight w:val="none"/>
        </w:rPr>
        <w:t>桩，而后将</w:t>
      </w:r>
      <w:r>
        <w:rPr>
          <w:rFonts w:hint="eastAsia" w:ascii="Times New Roman" w:hAnsi="Times New Roman" w:eastAsiaTheme="minorEastAsia"/>
          <w:szCs w:val="21"/>
          <w:highlight w:val="none"/>
          <w:lang w:val="en-US" w:eastAsia="zh-CN"/>
        </w:rPr>
        <w:t>预制桩植入</w:t>
      </w:r>
      <w:r>
        <w:rPr>
          <w:rFonts w:hint="default" w:ascii="Times New Roman" w:hAnsi="Times New Roman" w:eastAsiaTheme="minorEastAsia"/>
          <w:szCs w:val="21"/>
          <w:highlight w:val="none"/>
        </w:rPr>
        <w:t>其中</w:t>
      </w:r>
      <w:r>
        <w:rPr>
          <w:rFonts w:hint="eastAsia" w:ascii="Times New Roman" w:hAnsi="Times New Roman" w:eastAsiaTheme="minorEastAsia"/>
          <w:szCs w:val="21"/>
          <w:highlight w:val="none"/>
          <w:lang w:val="en-US" w:eastAsia="zh-CN"/>
        </w:rPr>
        <w:t>而形成的复合桩</w:t>
      </w:r>
      <w:r>
        <w:rPr>
          <w:rFonts w:hint="default" w:ascii="Times New Roman" w:hAnsi="Times New Roman" w:eastAsiaTheme="minorEastAsia"/>
          <w:szCs w:val="21"/>
          <w:highlight w:val="none"/>
        </w:rPr>
        <w:t>。</w:t>
      </w:r>
    </w:p>
    <w:p w14:paraId="7DFB3D11">
      <w:pPr>
        <w:spacing w:line="312" w:lineRule="exact"/>
        <w:rPr>
          <w:rFonts w:ascii="Times New Roman" w:hAnsi="Times New Roman" w:eastAsiaTheme="minorEastAsia"/>
          <w:szCs w:val="21"/>
          <w:highlight w:val="none"/>
        </w:rPr>
      </w:pPr>
      <w:r>
        <w:rPr>
          <w:rFonts w:ascii="Times New Roman" w:hAnsi="Times New Roman" w:eastAsia="黑体"/>
          <w:b/>
          <w:bCs/>
          <w:kern w:val="0"/>
          <w:szCs w:val="21"/>
          <w:highlight w:val="none"/>
        </w:rPr>
        <w:t>2.1.</w:t>
      </w:r>
      <w:r>
        <w:rPr>
          <w:rFonts w:hint="eastAsia" w:ascii="Times New Roman" w:hAnsi="Times New Roman" w:eastAsia="黑体"/>
          <w:b/>
          <w:bCs/>
          <w:kern w:val="0"/>
          <w:szCs w:val="21"/>
          <w:highlight w:val="none"/>
          <w:lang w:val="en-US" w:eastAsia="zh-CN"/>
        </w:rPr>
        <w:t>3</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高压旋喷</w:t>
      </w:r>
      <w:r>
        <w:rPr>
          <w:rFonts w:hint="default" w:ascii="Times New Roman" w:hAnsi="Times New Roman" w:eastAsiaTheme="minorEastAsia"/>
          <w:szCs w:val="21"/>
          <w:highlight w:val="none"/>
        </w:rPr>
        <w:t>植桩</w:t>
      </w:r>
      <w:r>
        <w:rPr>
          <w:rFonts w:hint="default"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lang w:val="en-US" w:eastAsia="zh-CN"/>
        </w:rPr>
        <w:t>h</w:t>
      </w:r>
      <w:r>
        <w:rPr>
          <w:rFonts w:hint="default" w:ascii="Times New Roman" w:hAnsi="Times New Roman" w:eastAsiaTheme="minorEastAsia"/>
          <w:szCs w:val="21"/>
          <w:highlight w:val="none"/>
          <w:lang w:val="en-US" w:eastAsia="zh-CN"/>
        </w:rPr>
        <w:t>igh pressure rotary spraying pile planting</w:t>
      </w:r>
    </w:p>
    <w:p w14:paraId="05DCD2BA">
      <w:pPr>
        <w:spacing w:line="312" w:lineRule="exact"/>
        <w:ind w:firstLine="420" w:firstLineChars="200"/>
        <w:rPr>
          <w:rFonts w:hint="default" w:ascii="Times New Roman" w:hAnsi="Times New Roman" w:eastAsiaTheme="minorEastAsia"/>
          <w:szCs w:val="21"/>
          <w:highlight w:val="none"/>
        </w:rPr>
      </w:pPr>
      <w:r>
        <w:rPr>
          <w:rFonts w:hint="default" w:ascii="Times New Roman" w:hAnsi="Times New Roman" w:eastAsiaTheme="minorEastAsia"/>
          <w:szCs w:val="21"/>
          <w:highlight w:val="none"/>
        </w:rPr>
        <w:t>预先采用</w:t>
      </w:r>
      <w:r>
        <w:rPr>
          <w:rFonts w:hint="eastAsia" w:ascii="Times New Roman" w:hAnsi="Times New Roman" w:eastAsiaTheme="minorEastAsia"/>
          <w:szCs w:val="21"/>
          <w:highlight w:val="none"/>
          <w:lang w:val="en-US" w:eastAsia="zh-CN"/>
        </w:rPr>
        <w:t>高压旋喷</w:t>
      </w:r>
      <w:r>
        <w:rPr>
          <w:rFonts w:hint="default" w:ascii="Times New Roman" w:hAnsi="Times New Roman" w:eastAsiaTheme="minorEastAsia"/>
          <w:szCs w:val="21"/>
          <w:highlight w:val="none"/>
        </w:rPr>
        <w:t>工艺形成水</w:t>
      </w:r>
      <w:r>
        <w:rPr>
          <w:rFonts w:hint="eastAsia" w:ascii="Times New Roman" w:hAnsi="Times New Roman" w:eastAsiaTheme="minorEastAsia"/>
          <w:szCs w:val="21"/>
          <w:highlight w:val="none"/>
          <w:lang w:eastAsia="zh-CN"/>
        </w:rPr>
        <w:t>泥土或固化土</w:t>
      </w:r>
      <w:r>
        <w:rPr>
          <w:rFonts w:hint="default" w:ascii="Times New Roman" w:hAnsi="Times New Roman" w:eastAsiaTheme="minorEastAsia"/>
          <w:szCs w:val="21"/>
          <w:highlight w:val="none"/>
        </w:rPr>
        <w:t>桩，而后将</w:t>
      </w:r>
      <w:r>
        <w:rPr>
          <w:rFonts w:hint="eastAsia" w:ascii="Times New Roman" w:hAnsi="Times New Roman" w:eastAsiaTheme="minorEastAsia"/>
          <w:szCs w:val="21"/>
          <w:highlight w:val="none"/>
          <w:lang w:val="en-US" w:eastAsia="zh-CN"/>
        </w:rPr>
        <w:t>预制桩植入</w:t>
      </w:r>
      <w:r>
        <w:rPr>
          <w:rFonts w:hint="default" w:ascii="Times New Roman" w:hAnsi="Times New Roman" w:eastAsiaTheme="minorEastAsia"/>
          <w:szCs w:val="21"/>
          <w:highlight w:val="none"/>
        </w:rPr>
        <w:t>其中</w:t>
      </w:r>
      <w:r>
        <w:rPr>
          <w:rFonts w:hint="eastAsia" w:ascii="Times New Roman" w:hAnsi="Times New Roman" w:eastAsiaTheme="minorEastAsia"/>
          <w:szCs w:val="21"/>
          <w:highlight w:val="none"/>
          <w:lang w:val="en-US" w:eastAsia="zh-CN"/>
        </w:rPr>
        <w:t>而形成的复合桩</w:t>
      </w:r>
      <w:r>
        <w:rPr>
          <w:rFonts w:hint="default" w:ascii="Times New Roman" w:hAnsi="Times New Roman" w:eastAsiaTheme="minorEastAsia"/>
          <w:szCs w:val="21"/>
          <w:highlight w:val="none"/>
        </w:rPr>
        <w:t>。</w:t>
      </w:r>
    </w:p>
    <w:p w14:paraId="4F7DF638">
      <w:pPr>
        <w:spacing w:line="312" w:lineRule="exact"/>
        <w:rPr>
          <w:rFonts w:ascii="Times New Roman" w:hAnsi="Times New Roman" w:eastAsiaTheme="minorEastAsia"/>
          <w:szCs w:val="21"/>
          <w:highlight w:val="none"/>
        </w:rPr>
      </w:pPr>
      <w:r>
        <w:rPr>
          <w:rFonts w:ascii="Times New Roman" w:hAnsi="Times New Roman" w:eastAsia="黑体"/>
          <w:b/>
          <w:bCs/>
          <w:kern w:val="0"/>
          <w:szCs w:val="21"/>
          <w:highlight w:val="none"/>
        </w:rPr>
        <w:t>2.1.</w:t>
      </w:r>
      <w:r>
        <w:rPr>
          <w:rFonts w:hint="eastAsia" w:ascii="Times New Roman" w:hAnsi="Times New Roman" w:eastAsia="黑体"/>
          <w:b/>
          <w:bCs/>
          <w:kern w:val="0"/>
          <w:szCs w:val="21"/>
          <w:highlight w:val="none"/>
          <w:lang w:val="en-US" w:eastAsia="zh-CN"/>
        </w:rPr>
        <w:t>4</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旋挖植桩</w:t>
      </w:r>
      <w:r>
        <w:rPr>
          <w:rFonts w:hint="default" w:ascii="Times New Roman" w:hAnsi="Times New Roman" w:eastAsiaTheme="minorEastAsia"/>
          <w:szCs w:val="21"/>
          <w:highlight w:val="none"/>
          <w:lang w:val="en-US" w:eastAsia="zh-CN"/>
        </w:rPr>
        <w:t xml:space="preserve">  rotary pile planting</w:t>
      </w:r>
    </w:p>
    <w:p w14:paraId="478FA58D">
      <w:pPr>
        <w:spacing w:line="312" w:lineRule="exact"/>
        <w:ind w:firstLine="420" w:firstLineChars="200"/>
        <w:rPr>
          <w:rFonts w:hint="default" w:ascii="Times New Roman" w:hAnsi="Times New Roman" w:eastAsiaTheme="minorEastAsia"/>
          <w:szCs w:val="21"/>
          <w:highlight w:val="none"/>
        </w:rPr>
      </w:pPr>
      <w:r>
        <w:rPr>
          <w:rFonts w:hint="default" w:ascii="Times New Roman" w:hAnsi="Times New Roman" w:eastAsiaTheme="minorEastAsia"/>
          <w:szCs w:val="21"/>
          <w:highlight w:val="none"/>
        </w:rPr>
        <w:t>预先采用旋挖钻机成孔，在孔内灌注适量水</w:t>
      </w:r>
      <w:r>
        <w:rPr>
          <w:rFonts w:hint="eastAsia" w:ascii="Times New Roman" w:hAnsi="Times New Roman" w:eastAsiaTheme="minorEastAsia"/>
          <w:szCs w:val="21"/>
          <w:highlight w:val="none"/>
          <w:lang w:eastAsia="zh-CN"/>
        </w:rPr>
        <w:t>泥土或固化土</w:t>
      </w:r>
      <w:r>
        <w:rPr>
          <w:rFonts w:hint="default" w:ascii="Times New Roman" w:hAnsi="Times New Roman" w:eastAsiaTheme="minorEastAsia"/>
          <w:szCs w:val="21"/>
          <w:highlight w:val="none"/>
        </w:rPr>
        <w:t>、</w:t>
      </w:r>
      <w:r>
        <w:rPr>
          <w:rFonts w:hint="eastAsia" w:ascii="Times New Roman" w:hAnsi="Times New Roman" w:eastAsiaTheme="minorEastAsia"/>
          <w:szCs w:val="21"/>
          <w:highlight w:val="none"/>
          <w:lang w:val="en-US" w:eastAsia="zh-CN"/>
        </w:rPr>
        <w:t>水泥</w:t>
      </w:r>
      <w:r>
        <w:rPr>
          <w:rFonts w:hint="default" w:ascii="Times New Roman" w:hAnsi="Times New Roman" w:eastAsiaTheme="minorEastAsia"/>
          <w:szCs w:val="21"/>
          <w:highlight w:val="none"/>
        </w:rPr>
        <w:t>砂浆或混凝土，而后将</w:t>
      </w:r>
      <w:r>
        <w:rPr>
          <w:rFonts w:hint="eastAsia" w:ascii="Times New Roman" w:hAnsi="Times New Roman" w:eastAsiaTheme="minorEastAsia"/>
          <w:szCs w:val="21"/>
          <w:highlight w:val="none"/>
          <w:lang w:val="en-US" w:eastAsia="zh-CN"/>
        </w:rPr>
        <w:t>预制桩植入</w:t>
      </w:r>
      <w:r>
        <w:rPr>
          <w:rFonts w:hint="default" w:ascii="Times New Roman" w:hAnsi="Times New Roman" w:eastAsiaTheme="minorEastAsia"/>
          <w:szCs w:val="21"/>
          <w:highlight w:val="none"/>
        </w:rPr>
        <w:t>其中</w:t>
      </w:r>
      <w:r>
        <w:rPr>
          <w:rFonts w:hint="eastAsia" w:ascii="Times New Roman" w:hAnsi="Times New Roman" w:eastAsiaTheme="minorEastAsia"/>
          <w:szCs w:val="21"/>
          <w:highlight w:val="none"/>
          <w:lang w:val="en-US" w:eastAsia="zh-CN"/>
        </w:rPr>
        <w:t>而形成的复合桩</w:t>
      </w:r>
      <w:r>
        <w:rPr>
          <w:rFonts w:hint="default" w:ascii="Times New Roman" w:hAnsi="Times New Roman" w:eastAsiaTheme="minorEastAsia"/>
          <w:szCs w:val="21"/>
          <w:highlight w:val="none"/>
        </w:rPr>
        <w:t>。</w:t>
      </w:r>
    </w:p>
    <w:p w14:paraId="6702B416">
      <w:pPr>
        <w:spacing w:line="312" w:lineRule="exact"/>
        <w:rPr>
          <w:rFonts w:ascii="Times New Roman" w:hAnsi="Times New Roman" w:eastAsiaTheme="minorEastAsia"/>
          <w:szCs w:val="21"/>
          <w:highlight w:val="none"/>
        </w:rPr>
      </w:pPr>
      <w:r>
        <w:rPr>
          <w:rFonts w:ascii="Times New Roman" w:hAnsi="Times New Roman" w:eastAsia="黑体"/>
          <w:b/>
          <w:bCs/>
          <w:kern w:val="0"/>
          <w:szCs w:val="21"/>
          <w:highlight w:val="none"/>
        </w:rPr>
        <w:t>2.1.</w:t>
      </w:r>
      <w:r>
        <w:rPr>
          <w:rFonts w:hint="eastAsia" w:ascii="Times New Roman" w:hAnsi="Times New Roman" w:eastAsia="黑体"/>
          <w:b/>
          <w:bCs/>
          <w:kern w:val="0"/>
          <w:szCs w:val="21"/>
          <w:highlight w:val="none"/>
          <w:lang w:val="en-US" w:eastAsia="zh-CN"/>
        </w:rPr>
        <w:t>5</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长螺旋压灌植桩</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l</w:t>
      </w:r>
      <w:r>
        <w:rPr>
          <w:rFonts w:hint="default" w:ascii="Times New Roman" w:hAnsi="Times New Roman" w:eastAsiaTheme="minorEastAsia"/>
          <w:szCs w:val="21"/>
          <w:highlight w:val="none"/>
        </w:rPr>
        <w:t xml:space="preserve">ong spiral pressure grouting pile </w:t>
      </w:r>
      <w:r>
        <w:rPr>
          <w:rFonts w:hint="default" w:ascii="Times New Roman" w:hAnsi="Times New Roman" w:eastAsiaTheme="minorEastAsia"/>
          <w:szCs w:val="21"/>
          <w:highlight w:val="none"/>
          <w:lang w:val="en-US" w:eastAsia="zh-CN"/>
        </w:rPr>
        <w:t>planting</w:t>
      </w:r>
    </w:p>
    <w:p w14:paraId="1D2B867D">
      <w:pPr>
        <w:spacing w:line="312" w:lineRule="exact"/>
        <w:ind w:firstLine="420" w:firstLineChars="200"/>
        <w:rPr>
          <w:rFonts w:hint="default"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预先</w:t>
      </w:r>
      <w:r>
        <w:rPr>
          <w:rFonts w:hint="default" w:ascii="Times New Roman" w:hAnsi="Times New Roman" w:eastAsiaTheme="minorEastAsia"/>
          <w:szCs w:val="21"/>
          <w:highlight w:val="none"/>
        </w:rPr>
        <w:t>采用长螺旋钻机成孔，通过钻杆芯管将</w:t>
      </w:r>
      <w:r>
        <w:rPr>
          <w:rFonts w:hint="eastAsia" w:ascii="Times New Roman" w:hAnsi="Times New Roman" w:eastAsiaTheme="minorEastAsia"/>
          <w:szCs w:val="21"/>
          <w:highlight w:val="none"/>
          <w:lang w:val="en-US" w:eastAsia="zh-CN"/>
        </w:rPr>
        <w:t>适量</w:t>
      </w:r>
      <w:r>
        <w:rPr>
          <w:rFonts w:hint="default" w:ascii="Times New Roman" w:hAnsi="Times New Roman" w:eastAsiaTheme="minorEastAsia"/>
          <w:szCs w:val="21"/>
          <w:highlight w:val="none"/>
        </w:rPr>
        <w:t>水</w:t>
      </w:r>
      <w:r>
        <w:rPr>
          <w:rFonts w:hint="eastAsia" w:ascii="Times New Roman" w:hAnsi="Times New Roman" w:eastAsiaTheme="minorEastAsia"/>
          <w:szCs w:val="21"/>
          <w:highlight w:val="none"/>
          <w:lang w:eastAsia="zh-CN"/>
        </w:rPr>
        <w:t>泥土或固化土</w:t>
      </w:r>
      <w:r>
        <w:rPr>
          <w:rFonts w:hint="default" w:ascii="Times New Roman" w:hAnsi="Times New Roman" w:eastAsiaTheme="minorEastAsia"/>
          <w:szCs w:val="21"/>
          <w:highlight w:val="none"/>
        </w:rPr>
        <w:t>、</w:t>
      </w:r>
      <w:r>
        <w:rPr>
          <w:rFonts w:hint="eastAsia" w:ascii="Times New Roman" w:hAnsi="Times New Roman" w:eastAsiaTheme="minorEastAsia"/>
          <w:szCs w:val="21"/>
          <w:highlight w:val="none"/>
          <w:lang w:val="en-US" w:eastAsia="zh-CN"/>
        </w:rPr>
        <w:t>水泥</w:t>
      </w:r>
      <w:r>
        <w:rPr>
          <w:rFonts w:hint="default" w:ascii="Times New Roman" w:hAnsi="Times New Roman" w:eastAsiaTheme="minorEastAsia"/>
          <w:szCs w:val="21"/>
          <w:highlight w:val="none"/>
        </w:rPr>
        <w:t>砂浆或混凝土压送至</w:t>
      </w:r>
      <w:r>
        <w:rPr>
          <w:rFonts w:hint="eastAsia" w:ascii="Times New Roman" w:hAnsi="Times New Roman" w:eastAsiaTheme="minorEastAsia"/>
          <w:szCs w:val="21"/>
          <w:highlight w:val="none"/>
          <w:lang w:val="en-US" w:eastAsia="zh-CN"/>
        </w:rPr>
        <w:t>孔内</w:t>
      </w:r>
      <w:r>
        <w:rPr>
          <w:rFonts w:hint="default" w:ascii="Times New Roman" w:hAnsi="Times New Roman" w:eastAsiaTheme="minorEastAsia"/>
          <w:szCs w:val="21"/>
          <w:highlight w:val="none"/>
        </w:rPr>
        <w:t>，</w:t>
      </w:r>
      <w:r>
        <w:rPr>
          <w:rFonts w:hint="eastAsia" w:ascii="Times New Roman" w:hAnsi="Times New Roman" w:eastAsiaTheme="minorEastAsia"/>
          <w:szCs w:val="21"/>
          <w:highlight w:val="none"/>
          <w:lang w:val="en-US" w:eastAsia="zh-CN"/>
        </w:rPr>
        <w:t>而</w:t>
      </w:r>
      <w:r>
        <w:rPr>
          <w:rFonts w:hint="default" w:ascii="Times New Roman" w:hAnsi="Times New Roman" w:eastAsiaTheme="minorEastAsia"/>
          <w:szCs w:val="21"/>
          <w:highlight w:val="none"/>
        </w:rPr>
        <w:t>后再将预制桩</w:t>
      </w:r>
      <w:r>
        <w:rPr>
          <w:rFonts w:hint="eastAsia" w:ascii="Times New Roman" w:hAnsi="Times New Roman" w:eastAsiaTheme="minorEastAsia"/>
          <w:szCs w:val="21"/>
          <w:highlight w:val="none"/>
          <w:lang w:val="en-US" w:eastAsia="zh-CN"/>
        </w:rPr>
        <w:t>植入</w:t>
      </w:r>
      <w:r>
        <w:rPr>
          <w:rFonts w:hint="default" w:ascii="Times New Roman" w:hAnsi="Times New Roman" w:eastAsiaTheme="minorEastAsia"/>
          <w:szCs w:val="21"/>
          <w:highlight w:val="none"/>
        </w:rPr>
        <w:t>其中</w:t>
      </w:r>
      <w:r>
        <w:rPr>
          <w:rFonts w:hint="eastAsia" w:ascii="Times New Roman" w:hAnsi="Times New Roman" w:eastAsiaTheme="minorEastAsia"/>
          <w:szCs w:val="21"/>
          <w:highlight w:val="none"/>
          <w:lang w:val="en-US" w:eastAsia="zh-CN"/>
        </w:rPr>
        <w:t>而形成的复合桩</w:t>
      </w:r>
      <w:r>
        <w:rPr>
          <w:rFonts w:hint="default" w:ascii="Times New Roman" w:hAnsi="Times New Roman" w:eastAsiaTheme="minorEastAsia"/>
          <w:szCs w:val="21"/>
          <w:highlight w:val="none"/>
        </w:rPr>
        <w:t>。</w:t>
      </w:r>
    </w:p>
    <w:p w14:paraId="627F6834">
      <w:pPr>
        <w:spacing w:line="312" w:lineRule="exact"/>
        <w:rPr>
          <w:rFonts w:ascii="Times New Roman" w:hAnsi="Times New Roman" w:eastAsiaTheme="minorEastAsia"/>
          <w:szCs w:val="21"/>
          <w:highlight w:val="none"/>
        </w:rPr>
      </w:pPr>
      <w:r>
        <w:rPr>
          <w:rFonts w:ascii="Times New Roman" w:hAnsi="Times New Roman" w:eastAsia="黑体"/>
          <w:b/>
          <w:bCs/>
          <w:kern w:val="0"/>
          <w:szCs w:val="21"/>
          <w:highlight w:val="none"/>
        </w:rPr>
        <w:t>2.1.</w:t>
      </w:r>
      <w:r>
        <w:rPr>
          <w:rFonts w:hint="eastAsia" w:ascii="Times New Roman" w:hAnsi="Times New Roman" w:eastAsia="黑体"/>
          <w:b/>
          <w:bCs/>
          <w:kern w:val="0"/>
          <w:szCs w:val="21"/>
          <w:highlight w:val="none"/>
          <w:lang w:val="en-US" w:eastAsia="zh-CN"/>
        </w:rPr>
        <w:t>6</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芯桩</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c</w:t>
      </w:r>
      <w:r>
        <w:rPr>
          <w:rFonts w:hint="default" w:ascii="Times New Roman" w:hAnsi="Times New Roman" w:eastAsiaTheme="minorEastAsia"/>
          <w:szCs w:val="21"/>
          <w:highlight w:val="none"/>
        </w:rPr>
        <w:t>ore pile</w:t>
      </w:r>
    </w:p>
    <w:p w14:paraId="0151B681">
      <w:pPr>
        <w:spacing w:line="312" w:lineRule="exact"/>
        <w:ind w:firstLine="420" w:firstLineChars="200"/>
        <w:rPr>
          <w:rFonts w:hint="default" w:ascii="Times New Roman" w:hAnsi="Times New Roman" w:eastAsiaTheme="minorEastAsia"/>
          <w:szCs w:val="21"/>
          <w:highlight w:val="none"/>
        </w:rPr>
      </w:pPr>
      <w:r>
        <w:rPr>
          <w:rFonts w:hint="eastAsia"/>
          <w:lang w:val="en-US" w:eastAsia="zh-CN"/>
        </w:rPr>
        <w:t>复合桩</w:t>
      </w:r>
      <w:r>
        <w:rPr>
          <w:rFonts w:hint="default" w:ascii="Times New Roman" w:hAnsi="Times New Roman" w:eastAsiaTheme="minorEastAsia"/>
          <w:szCs w:val="21"/>
          <w:highlight w:val="none"/>
        </w:rPr>
        <w:t>中的</w:t>
      </w:r>
      <w:r>
        <w:rPr>
          <w:rFonts w:hint="eastAsia" w:ascii="Times New Roman" w:hAnsi="Times New Roman" w:eastAsiaTheme="minorEastAsia"/>
          <w:szCs w:val="21"/>
          <w:highlight w:val="none"/>
          <w:lang w:val="en-US" w:eastAsia="zh-CN"/>
        </w:rPr>
        <w:t>混凝土</w:t>
      </w:r>
      <w:r>
        <w:rPr>
          <w:rFonts w:hint="default" w:ascii="Times New Roman" w:hAnsi="Times New Roman" w:eastAsiaTheme="minorEastAsia"/>
          <w:szCs w:val="21"/>
          <w:highlight w:val="none"/>
        </w:rPr>
        <w:t>预制桩。</w:t>
      </w:r>
    </w:p>
    <w:p w14:paraId="5B21A87B">
      <w:pPr>
        <w:spacing w:line="312" w:lineRule="exact"/>
        <w:rPr>
          <w:rFonts w:ascii="Times New Roman" w:hAnsi="Times New Roman" w:eastAsiaTheme="minorEastAsia"/>
          <w:szCs w:val="21"/>
          <w:highlight w:val="none"/>
        </w:rPr>
      </w:pPr>
      <w:r>
        <w:rPr>
          <w:rFonts w:ascii="Times New Roman" w:hAnsi="Times New Roman" w:eastAsia="黑体"/>
          <w:b/>
          <w:bCs/>
          <w:kern w:val="0"/>
          <w:szCs w:val="21"/>
          <w:highlight w:val="none"/>
        </w:rPr>
        <w:t>2.1.</w:t>
      </w:r>
      <w:r>
        <w:rPr>
          <w:rFonts w:hint="eastAsia" w:ascii="Times New Roman" w:hAnsi="Times New Roman" w:eastAsia="黑体"/>
          <w:b/>
          <w:bCs/>
          <w:kern w:val="0"/>
          <w:szCs w:val="21"/>
          <w:highlight w:val="none"/>
          <w:lang w:val="en-US" w:eastAsia="zh-CN"/>
        </w:rPr>
        <w:t>7</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外芯</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o</w:t>
      </w:r>
      <w:r>
        <w:rPr>
          <w:rFonts w:hint="default" w:ascii="Times New Roman" w:hAnsi="Times New Roman" w:eastAsiaTheme="minorEastAsia"/>
          <w:szCs w:val="21"/>
          <w:highlight w:val="none"/>
        </w:rPr>
        <w:t>uter core</w:t>
      </w:r>
    </w:p>
    <w:p w14:paraId="6B8FF35A">
      <w:pPr>
        <w:spacing w:line="312" w:lineRule="exact"/>
        <w:ind w:firstLine="420" w:firstLineChars="200"/>
        <w:rPr>
          <w:rFonts w:hint="default" w:ascii="Times New Roman" w:hAnsi="Times New Roman" w:eastAsiaTheme="minorEastAsia"/>
          <w:szCs w:val="21"/>
          <w:highlight w:val="none"/>
        </w:rPr>
      </w:pPr>
      <w:r>
        <w:rPr>
          <w:rFonts w:hint="eastAsia"/>
          <w:lang w:val="en-US" w:eastAsia="zh-CN"/>
        </w:rPr>
        <w:t>复合桩中芯桩以外的桩体</w:t>
      </w:r>
      <w:r>
        <w:rPr>
          <w:rFonts w:hint="default" w:ascii="Times New Roman" w:hAnsi="Times New Roman" w:eastAsiaTheme="minorEastAsia"/>
          <w:szCs w:val="21"/>
          <w:highlight w:val="none"/>
        </w:rPr>
        <w:t>。</w:t>
      </w:r>
    </w:p>
    <w:p w14:paraId="7DA6E3C9">
      <w:pPr>
        <w:spacing w:line="312" w:lineRule="exact"/>
        <w:rPr>
          <w:rFonts w:ascii="Times New Roman" w:hAnsi="Times New Roman" w:eastAsiaTheme="minorEastAsia"/>
          <w:szCs w:val="21"/>
          <w:highlight w:val="none"/>
        </w:rPr>
      </w:pPr>
      <w:r>
        <w:rPr>
          <w:rFonts w:ascii="Times New Roman" w:hAnsi="Times New Roman" w:eastAsia="黑体"/>
          <w:b/>
          <w:bCs/>
          <w:kern w:val="0"/>
          <w:szCs w:val="21"/>
          <w:highlight w:val="none"/>
        </w:rPr>
        <w:t>2.1.</w:t>
      </w:r>
      <w:r>
        <w:rPr>
          <w:rFonts w:hint="eastAsia" w:ascii="Times New Roman" w:hAnsi="Times New Roman" w:eastAsia="黑体"/>
          <w:b/>
          <w:bCs/>
          <w:kern w:val="0"/>
          <w:szCs w:val="21"/>
          <w:highlight w:val="none"/>
          <w:lang w:val="en-US" w:eastAsia="zh-CN"/>
        </w:rPr>
        <w:t>8</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长径比</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a</w:t>
      </w:r>
      <w:r>
        <w:rPr>
          <w:rFonts w:hint="default" w:ascii="Times New Roman" w:hAnsi="Times New Roman" w:eastAsiaTheme="minorEastAsia"/>
          <w:szCs w:val="21"/>
          <w:highlight w:val="none"/>
          <w:lang w:val="en-US" w:eastAsia="zh-CN"/>
        </w:rPr>
        <w:t>spect ratio</w:t>
      </w:r>
    </w:p>
    <w:p w14:paraId="5AA805FE">
      <w:pPr>
        <w:spacing w:line="312" w:lineRule="exact"/>
        <w:ind w:firstLine="420" w:firstLineChars="200"/>
        <w:rPr>
          <w:rFonts w:hint="default"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桩长与芯桩直径或边长之比</w:t>
      </w:r>
      <w:r>
        <w:rPr>
          <w:rFonts w:hint="default" w:ascii="Times New Roman" w:hAnsi="Times New Roman" w:eastAsiaTheme="minorEastAsia"/>
          <w:szCs w:val="21"/>
          <w:highlight w:val="none"/>
        </w:rPr>
        <w:t>。</w:t>
      </w:r>
    </w:p>
    <w:p w14:paraId="14FFD832">
      <w:pPr>
        <w:pStyle w:val="3"/>
        <w:spacing w:before="312" w:after="312"/>
        <w:rPr>
          <w:rFonts w:ascii="Times New Roman" w:hAnsi="Times New Roman"/>
          <w:highlight w:val="none"/>
        </w:rPr>
      </w:pPr>
      <w:bookmarkStart w:id="24" w:name="_Toc13203"/>
      <w:bookmarkStart w:id="25" w:name="_Toc478810135"/>
      <w:bookmarkStart w:id="26" w:name="_Toc478803277"/>
      <w:bookmarkStart w:id="27" w:name="_Toc18590"/>
      <w:bookmarkStart w:id="28" w:name="_Toc14589"/>
      <w:bookmarkStart w:id="29" w:name="_2.2 符  号"/>
      <w:r>
        <w:rPr>
          <w:rFonts w:ascii="Times New Roman" w:hAnsi="Times New Roman"/>
          <w:b/>
          <w:bCs w:val="0"/>
          <w:highlight w:val="none"/>
        </w:rPr>
        <w:t>2.2</w:t>
      </w:r>
      <w:r>
        <w:rPr>
          <w:rFonts w:ascii="Times New Roman" w:hAnsi="Times New Roman"/>
          <w:highlight w:val="none"/>
        </w:rPr>
        <w:t xml:space="preserve"> 符</w:t>
      </w:r>
      <w:r>
        <w:rPr>
          <w:rFonts w:hint="default" w:ascii="Times New Roman" w:hAnsi="Times New Roman"/>
          <w:highlight w:val="none"/>
        </w:rPr>
        <w:t xml:space="preserve">  </w:t>
      </w:r>
      <w:r>
        <w:rPr>
          <w:rFonts w:ascii="Times New Roman" w:hAnsi="Times New Roman"/>
          <w:highlight w:val="none"/>
        </w:rPr>
        <w:t>号</w:t>
      </w:r>
      <w:bookmarkEnd w:id="24"/>
      <w:bookmarkEnd w:id="25"/>
      <w:bookmarkEnd w:id="26"/>
      <w:bookmarkEnd w:id="27"/>
      <w:bookmarkEnd w:id="28"/>
    </w:p>
    <w:bookmarkEnd w:id="29"/>
    <w:p w14:paraId="42C055CF">
      <w:pPr>
        <w:spacing w:line="312" w:lineRule="exact"/>
        <w:rPr>
          <w:rFonts w:hint="default" w:ascii="Times New Roman" w:hAnsi="Times New Roman" w:eastAsiaTheme="minorEastAsia"/>
          <w:bCs/>
          <w:kern w:val="0"/>
          <w:szCs w:val="21"/>
          <w:highlight w:val="none"/>
        </w:rPr>
      </w:pPr>
      <w:bookmarkStart w:id="30" w:name="_Toc10093"/>
      <w:r>
        <w:rPr>
          <w:rFonts w:ascii="Times New Roman" w:hAnsi="Times New Roman" w:eastAsia="黑体"/>
          <w:b/>
          <w:bCs/>
          <w:kern w:val="0"/>
          <w:szCs w:val="21"/>
          <w:highlight w:val="none"/>
        </w:rPr>
        <w:t>2.</w:t>
      </w:r>
      <w:r>
        <w:rPr>
          <w:rFonts w:hint="default" w:ascii="Times New Roman" w:hAnsi="Times New Roman" w:eastAsia="黑体"/>
          <w:b/>
          <w:bCs/>
          <w:kern w:val="0"/>
          <w:szCs w:val="21"/>
          <w:highlight w:val="none"/>
          <w:lang w:val="en-US" w:eastAsia="zh-CN"/>
        </w:rPr>
        <w:t>2</w:t>
      </w:r>
      <w:r>
        <w:rPr>
          <w:rFonts w:ascii="Times New Roman" w:hAnsi="Times New Roman" w:eastAsia="黑体"/>
          <w:b/>
          <w:bCs/>
          <w:kern w:val="0"/>
          <w:szCs w:val="21"/>
          <w:highlight w:val="none"/>
        </w:rPr>
        <w:t>.</w:t>
      </w:r>
      <w:r>
        <w:rPr>
          <w:rFonts w:hint="default" w:ascii="Times New Roman" w:hAnsi="Times New Roman" w:eastAsia="黑体"/>
          <w:b/>
          <w:bCs/>
          <w:kern w:val="0"/>
          <w:szCs w:val="21"/>
          <w:highlight w:val="none"/>
          <w:lang w:val="en-US" w:eastAsia="zh-CN"/>
        </w:rPr>
        <w:t>1</w:t>
      </w:r>
      <w:r>
        <w:rPr>
          <w:rFonts w:hint="default" w:ascii="Times New Roman" w:hAnsi="Times New Roman" w:eastAsiaTheme="minorEastAsia"/>
          <w:bCs/>
          <w:kern w:val="0"/>
          <w:szCs w:val="21"/>
          <w:highlight w:val="none"/>
        </w:rPr>
        <w:t xml:space="preserve"> 作用和作用效应</w:t>
      </w:r>
      <w:bookmarkEnd w:id="30"/>
    </w:p>
    <w:p w14:paraId="199F4223">
      <w:pPr>
        <w:keepNext w:val="0"/>
        <w:keepLines w:val="0"/>
        <w:pageBreakBefore w:val="0"/>
        <w:widowControl w:val="0"/>
        <w:kinsoku/>
        <w:wordWrap/>
        <w:overflowPunct/>
        <w:topLinePunct w:val="0"/>
        <w:autoSpaceDE/>
        <w:autoSpaceDN/>
        <w:bidi w:val="0"/>
        <w:adjustRightInd/>
        <w:snapToGrid/>
        <w:spacing w:line="312" w:lineRule="exact"/>
        <w:ind w:left="1470" w:leftChars="200" w:hanging="1050" w:hangingChars="500"/>
        <w:textAlignment w:val="auto"/>
        <w:rPr>
          <w:rFonts w:ascii="Times New Roman" w:hAnsi="Times New Roman" w:cs="Times New Roman" w:eastAsiaTheme="minorEastAsia"/>
          <w:szCs w:val="21"/>
          <w:highlight w:val="none"/>
        </w:rPr>
      </w:pPr>
      <w:r>
        <w:rPr>
          <w:rFonts w:hint="default" w:ascii="Times New Roman" w:hAnsi="Times New Roman" w:cs="Times New Roman" w:eastAsiaTheme="minorEastAsia"/>
          <w:position w:val="-12"/>
          <w:szCs w:val="21"/>
          <w:highlight w:val="none"/>
        </w:rPr>
        <w:object>
          <v:shape id="_x0000_i1025" o:spt="75" type="#_x0000_t75" style="height:18pt;width:15pt;" o:ole="t" filled="f" o:preferrelative="t" stroked="f" coordsize="21600,21600">
            <v:path/>
            <v:fill on="f" focussize="0,0"/>
            <v:stroke on="f"/>
            <v:imagedata r:id="rId10" o:title=""/>
            <o:lock v:ext="edit" aspectratio="t"/>
            <w10:wrap type="none"/>
            <w10:anchorlock/>
          </v:shape>
          <o:OLEObject Type="Embed" ProgID="Equation.3" ShapeID="_x0000_i1025" DrawAspect="Content" ObjectID="_1468075725" r:id="rId9">
            <o:LockedField>false</o:LockedField>
          </o:OLEObject>
        </w:object>
      </w:r>
      <w:r>
        <w:rPr>
          <w:rFonts w:hint="default" w:ascii="Times New Roman" w:hAnsi="Times New Roman" w:cs="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rPr>
        <w:t xml:space="preserve"> 按荷载效应标准组合计算的作用于承台顶面的竖向力；</w:t>
      </w:r>
    </w:p>
    <w:p w14:paraId="1201BFE8">
      <w:pPr>
        <w:keepNext w:val="0"/>
        <w:keepLines w:val="0"/>
        <w:pageBreakBefore w:val="0"/>
        <w:widowControl w:val="0"/>
        <w:kinsoku/>
        <w:wordWrap/>
        <w:overflowPunct/>
        <w:topLinePunct w:val="0"/>
        <w:autoSpaceDE/>
        <w:autoSpaceDN/>
        <w:bidi w:val="0"/>
        <w:adjustRightInd/>
        <w:snapToGrid/>
        <w:spacing w:line="312" w:lineRule="exact"/>
        <w:ind w:firstLine="420" w:firstLineChars="200"/>
        <w:textAlignment w:val="auto"/>
        <w:rPr>
          <w:rFonts w:ascii="Times New Roman" w:hAnsi="Times New Roman" w:cs="Times New Roman" w:eastAsiaTheme="minorEastAsia"/>
          <w:szCs w:val="21"/>
          <w:highlight w:val="none"/>
        </w:rPr>
      </w:pPr>
      <w:r>
        <w:rPr>
          <w:rFonts w:hint="default" w:ascii="Times New Roman" w:hAnsi="Times New Roman" w:cs="Times New Roman" w:eastAsiaTheme="minorEastAsia"/>
          <w:position w:val="-12"/>
          <w:szCs w:val="21"/>
          <w:highlight w:val="none"/>
        </w:rPr>
        <w:object>
          <v:shape id="_x0000_i1026" o:spt="75" type="#_x0000_t75" style="height:18pt;width:15pt;" o:ole="t" filled="f" o:preferrelative="t" stroked="f" coordsize="21600,21600">
            <v:path/>
            <v:fill on="f" focussize="0,0"/>
            <v:stroke on="f" joinstyle="miter"/>
            <v:imagedata r:id="rId12" o:title=""/>
            <o:lock v:ext="edit" aspectratio="t"/>
            <w10:wrap type="none"/>
            <w10:anchorlock/>
          </v:shape>
          <o:OLEObject Type="Embed" ProgID="Equation.3" ShapeID="_x0000_i1026" DrawAspect="Content" ObjectID="_1468075726" r:id="rId11">
            <o:LockedField>false</o:LockedField>
          </o:OLEObject>
        </w:object>
      </w:r>
      <w:r>
        <w:rPr>
          <w:rFonts w:hint="default" w:ascii="Times New Roman" w:hAnsi="Times New Roman" w:cs="Times New Roman" w:eastAsiaTheme="minorEastAsia"/>
          <w:szCs w:val="21"/>
          <w:highlight w:val="none"/>
        </w:rPr>
        <w:t xml:space="preserve"> </w:t>
      </w:r>
      <w:r>
        <w:rPr>
          <w:rFonts w:hint="default" w:ascii="Times New Roman" w:hAnsi="Times New Roman" w:cs="Times New Roman" w:eastAsiaTheme="minorEastAsia"/>
          <w:w w:val="90"/>
          <w:szCs w:val="21"/>
          <w:highlight w:val="none"/>
        </w:rPr>
        <w:t xml:space="preserve"> </w:t>
      </w:r>
      <w:r>
        <w:rPr>
          <w:rFonts w:hint="default"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rPr>
        <w:t xml:space="preserve"> 桩基承台和承台上土自重标准值；</w:t>
      </w:r>
    </w:p>
    <w:p w14:paraId="35A1371A">
      <w:pPr>
        <w:keepNext w:val="0"/>
        <w:keepLines w:val="0"/>
        <w:pageBreakBefore w:val="0"/>
        <w:widowControl w:val="0"/>
        <w:kinsoku/>
        <w:wordWrap/>
        <w:overflowPunct/>
        <w:topLinePunct w:val="0"/>
        <w:autoSpaceDE/>
        <w:autoSpaceDN/>
        <w:bidi w:val="0"/>
        <w:adjustRightInd/>
        <w:snapToGrid/>
        <w:spacing w:line="312" w:lineRule="exact"/>
        <w:ind w:left="1482" w:leftChars="200" w:hanging="1062" w:hangingChars="506"/>
        <w:textAlignment w:val="auto"/>
        <w:rPr>
          <w:rFonts w:ascii="Times New Roman" w:hAnsi="Times New Roman" w:cs="Times New Roman" w:eastAsiaTheme="minorEastAsia"/>
          <w:szCs w:val="21"/>
          <w:highlight w:val="none"/>
        </w:rPr>
      </w:pPr>
      <w:r>
        <w:rPr>
          <w:rFonts w:hint="default" w:ascii="Times New Roman" w:hAnsi="Times New Roman" w:cs="Times New Roman" w:eastAsiaTheme="minorEastAsia"/>
          <w:position w:val="-12"/>
          <w:szCs w:val="21"/>
          <w:highlight w:val="none"/>
        </w:rPr>
        <w:object>
          <v:shape id="_x0000_i1027" o:spt="75" type="#_x0000_t75" style="height:18pt;width:18pt;" o:ole="t" filled="f" o:preferrelative="t" stroked="f" coordsize="21600,21600">
            <v:path/>
            <v:fill on="f" focussize="0,0"/>
            <v:stroke on="f" joinstyle="miter"/>
            <v:imagedata r:id="rId14" o:title=""/>
            <o:lock v:ext="edit" aspectratio="t"/>
            <w10:wrap type="none"/>
            <w10:anchorlock/>
          </v:shape>
          <o:OLEObject Type="Embed" ProgID="Equation.3" ShapeID="_x0000_i1027" DrawAspect="Content" ObjectID="_1468075727" r:id="rId13">
            <o:LockedField>false</o:LockedField>
          </o:OLEObject>
        </w:object>
      </w:r>
      <w:r>
        <w:rPr>
          <w:rFonts w:hint="default" w:ascii="Times New Roman" w:hAnsi="Times New Roman" w:cs="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rPr>
        <w:t xml:space="preserve"> 按荷载效应标准组合计算的作用于承台底面的水平力；</w:t>
      </w:r>
    </w:p>
    <w:p w14:paraId="09AFAC18">
      <w:pPr>
        <w:keepNext w:val="0"/>
        <w:keepLines w:val="0"/>
        <w:pageBreakBefore w:val="0"/>
        <w:widowControl w:val="0"/>
        <w:kinsoku/>
        <w:wordWrap/>
        <w:overflowPunct/>
        <w:topLinePunct w:val="0"/>
        <w:autoSpaceDE/>
        <w:autoSpaceDN/>
        <w:bidi w:val="0"/>
        <w:adjustRightInd/>
        <w:snapToGrid/>
        <w:spacing w:line="312" w:lineRule="exact"/>
        <w:ind w:left="1470" w:leftChars="200" w:hanging="1050" w:hangingChars="500"/>
        <w:textAlignment w:val="auto"/>
        <w:rPr>
          <w:rFonts w:ascii="Times New Roman" w:hAnsi="Times New Roman" w:cs="Times New Roman" w:eastAsiaTheme="minorEastAsia"/>
          <w:szCs w:val="21"/>
          <w:highlight w:val="none"/>
        </w:rPr>
      </w:pPr>
      <w:r>
        <w:rPr>
          <w:rFonts w:hint="default" w:ascii="Times New Roman" w:hAnsi="Times New Roman" w:cs="Times New Roman" w:eastAsiaTheme="minorEastAsia"/>
          <w:position w:val="-12"/>
          <w:szCs w:val="21"/>
          <w:highlight w:val="none"/>
        </w:rPr>
        <w:object>
          <v:shape id="_x0000_i1028" o:spt="75" type="#_x0000_t75" style="height:18pt;width:19.7pt;" o:ole="t" filled="f" o:preferrelative="t" stroked="f" coordsize="21600,21600">
            <v:path/>
            <v:fill on="f" focussize="0,0"/>
            <v:stroke on="f" joinstyle="miter"/>
            <v:imagedata r:id="rId16" o:title=""/>
            <o:lock v:ext="edit" aspectratio="t"/>
            <w10:wrap type="none"/>
            <w10:anchorlock/>
          </v:shape>
          <o:OLEObject Type="Embed" ProgID="Equation.3" ShapeID="_x0000_i1028" DrawAspect="Content" ObjectID="_1468075728" r:id="rId15">
            <o:LockedField>false</o:LockedField>
          </o:OLEObject>
        </w:object>
      </w:r>
      <w:r>
        <w:rPr>
          <w:rFonts w:hint="default" w:ascii="Times New Roman" w:hAnsi="Times New Roman" w:cs="Times New Roman" w:eastAsiaTheme="minorEastAsia"/>
          <w:szCs w:val="21"/>
          <w:highlight w:val="none"/>
        </w:rPr>
        <w:t xml:space="preserve"> </w:t>
      </w:r>
      <w:r>
        <w:rPr>
          <w:rFonts w:hint="default" w:ascii="Times New Roman" w:hAnsi="Times New Roman" w:cs="Times New Roman" w:eastAsiaTheme="minorEastAsia"/>
          <w:w w:val="40"/>
          <w:szCs w:val="21"/>
          <w:highlight w:val="none"/>
        </w:rPr>
        <w:t xml:space="preserve"> </w:t>
      </w:r>
      <w:r>
        <w:rPr>
          <w:rFonts w:hint="default"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rPr>
        <w:t xml:space="preserve"> 按荷载效应标准组合计算的作用于第</w:t>
      </w:r>
      <w:r>
        <w:rPr>
          <w:rFonts w:hint="default" w:ascii="Times New Roman" w:hAnsi="Times New Roman" w:cs="Times New Roman" w:eastAsiaTheme="minorEastAsia"/>
          <w:position w:val="-6"/>
          <w:szCs w:val="21"/>
          <w:highlight w:val="none"/>
        </w:rPr>
        <w:object>
          <v:shape id="_x0000_i1029" o:spt="75" type="#_x0000_t75" style="height:12.85pt;width:7.7pt;" o:ole="t" filled="f" o:preferrelative="t" stroked="f" coordsize="21600,21600">
            <v:path/>
            <v:fill on="f" focussize="0,0"/>
            <v:stroke on="f" joinstyle="miter"/>
            <v:imagedata r:id="rId18" o:title=""/>
            <o:lock v:ext="edit" aspectratio="t"/>
            <w10:wrap type="none"/>
            <w10:anchorlock/>
          </v:shape>
          <o:OLEObject Type="Embed" ProgID="Equation.3" ShapeID="_x0000_i1029" DrawAspect="Content" ObjectID="_1468075729" r:id="rId17">
            <o:LockedField>false</o:LockedField>
          </o:OLEObject>
        </w:object>
      </w:r>
      <w:r>
        <w:rPr>
          <w:rFonts w:hint="default" w:ascii="Times New Roman" w:hAnsi="Times New Roman" w:cs="Times New Roman" w:eastAsiaTheme="minorEastAsia"/>
          <w:szCs w:val="21"/>
          <w:highlight w:val="none"/>
        </w:rPr>
        <w:t>基桩的水平力；</w:t>
      </w:r>
    </w:p>
    <w:p w14:paraId="4BDD8714">
      <w:pPr>
        <w:keepNext w:val="0"/>
        <w:keepLines w:val="0"/>
        <w:pageBreakBefore w:val="0"/>
        <w:widowControl w:val="0"/>
        <w:kinsoku/>
        <w:wordWrap/>
        <w:overflowPunct/>
        <w:topLinePunct w:val="0"/>
        <w:autoSpaceDE/>
        <w:autoSpaceDN/>
        <w:bidi w:val="0"/>
        <w:adjustRightInd/>
        <w:snapToGrid/>
        <w:spacing w:line="312" w:lineRule="exact"/>
        <w:ind w:left="1487" w:leftChars="-142" w:hanging="1785" w:hangingChars="850"/>
        <w:textAlignment w:val="auto"/>
        <w:rPr>
          <w:rFonts w:ascii="Times New Roman" w:hAnsi="Times New Roman" w:cs="Times New Roman" w:eastAsiaTheme="minorEastAsia"/>
          <w:szCs w:val="21"/>
          <w:highlight w:val="none"/>
        </w:rPr>
      </w:pPr>
      <w:r>
        <w:rPr>
          <w:rFonts w:hint="default" w:ascii="Times New Roman" w:hAnsi="Times New Roman" w:cs="Times New Roman" w:eastAsiaTheme="minorEastAsia"/>
          <w:position w:val="-12"/>
          <w:szCs w:val="21"/>
          <w:highlight w:val="none"/>
        </w:rPr>
        <w:object>
          <v:shape id="_x0000_i1030" o:spt="75" type="#_x0000_t75" style="height:18pt;width:23.15pt;" o:ole="t" filled="f" o:preferrelative="t" stroked="f" coordsize="21600,21600">
            <v:path/>
            <v:fill on="f" focussize="0,0"/>
            <v:stroke on="f" joinstyle="miter"/>
            <v:imagedata r:id="rId20" o:title=""/>
            <o:lock v:ext="edit" aspectratio="t"/>
            <w10:wrap type="none"/>
            <w10:anchorlock/>
          </v:shape>
          <o:OLEObject Type="Embed" ProgID="Equation.3" ShapeID="_x0000_i1030" DrawAspect="Content" ObjectID="_1468075730" r:id="rId19">
            <o:LockedField>false</o:LockedField>
          </o:OLEObject>
        </w:object>
      </w:r>
      <w:r>
        <w:rPr>
          <w:rFonts w:hint="default" w:ascii="Times New Roman" w:hAnsi="Times New Roman" w:cs="Times New Roman" w:eastAsiaTheme="minorEastAsia"/>
          <w:szCs w:val="21"/>
          <w:highlight w:val="none"/>
        </w:rPr>
        <w:t>、</w:t>
      </w:r>
      <w:r>
        <w:rPr>
          <w:rFonts w:hint="default" w:ascii="Times New Roman" w:hAnsi="Times New Roman" w:cs="Times New Roman" w:eastAsiaTheme="minorEastAsia"/>
          <w:position w:val="-14"/>
          <w:szCs w:val="21"/>
          <w:highlight w:val="none"/>
        </w:rPr>
        <w:object>
          <v:shape id="_x0000_i1031" o:spt="75" type="#_x0000_t75" style="height:19.7pt;width:23.15pt;" o:ole="t" filled="f" o:preferrelative="t" stroked="f" coordsize="21600,21600">
            <v:path/>
            <v:fill on="f" focussize="0,0"/>
            <v:stroke on="f" joinstyle="miter"/>
            <v:imagedata r:id="rId22" o:title=""/>
            <o:lock v:ext="edit" aspectratio="t"/>
            <w10:wrap type="none"/>
            <w10:anchorlock/>
          </v:shape>
          <o:OLEObject Type="Embed" ProgID="Equation.3" ShapeID="_x0000_i1031" DrawAspect="Content" ObjectID="_1468075731" r:id="rId21">
            <o:LockedField>false</o:LockedField>
          </o:OLEObject>
        </w:object>
      </w:r>
      <w:r>
        <w:rPr>
          <w:rFonts w:hint="default" w:ascii="Times New Roman" w:hAnsi="Times New Roman" w:cs="Times New Roman" w:eastAsiaTheme="minorEastAsia"/>
          <w:szCs w:val="21"/>
          <w:highlight w:val="none"/>
        </w:rPr>
        <w:t xml:space="preserve"> </w:t>
      </w:r>
      <w:r>
        <w:rPr>
          <w:rFonts w:hint="default"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rPr>
        <w:t xml:space="preserve"> 按荷载效应标准组合计算的作用于承台底面的外力，绕通过桩群形心的</w:t>
      </w:r>
      <w:r>
        <w:rPr>
          <w:rFonts w:hint="default" w:ascii="Times New Roman" w:hAnsi="Times New Roman" w:cs="Times New Roman" w:eastAsiaTheme="minorEastAsia"/>
          <w:position w:val="-6"/>
          <w:szCs w:val="21"/>
          <w:highlight w:val="none"/>
        </w:rPr>
        <w:object>
          <v:shape id="_x0000_i1032" o:spt="75" type="#_x0000_t75" style="height:10.9pt;width:11.15pt;" o:ole="t" filled="f" o:preferrelative="t" stroked="f" coordsize="21600,21600">
            <v:path/>
            <v:fill on="f" focussize="0,0"/>
            <v:stroke on="f"/>
            <v:imagedata r:id="rId24" o:title=""/>
            <o:lock v:ext="edit" aspectratio="t"/>
            <w10:wrap type="none"/>
            <w10:anchorlock/>
          </v:shape>
          <o:OLEObject Type="Embed" ProgID="Equation.3" ShapeID="_x0000_i1032" DrawAspect="Content" ObjectID="_1468075732" r:id="rId23">
            <o:LockedField>false</o:LockedField>
          </o:OLEObject>
        </w:object>
      </w:r>
      <w:r>
        <w:rPr>
          <w:rFonts w:hint="default" w:ascii="Times New Roman" w:hAnsi="Times New Roman" w:cs="Times New Roman" w:eastAsiaTheme="minorEastAsia"/>
          <w:szCs w:val="21"/>
          <w:highlight w:val="none"/>
        </w:rPr>
        <w:t>、</w:t>
      </w:r>
      <w:r>
        <w:rPr>
          <w:rFonts w:hint="default" w:ascii="Times New Roman" w:hAnsi="Times New Roman" w:cs="Times New Roman" w:eastAsiaTheme="minorEastAsia"/>
          <w:position w:val="-10"/>
          <w:szCs w:val="21"/>
          <w:highlight w:val="none"/>
        </w:rPr>
        <w:object>
          <v:shape id="_x0000_i1033" o:spt="75" type="#_x0000_t75" style="height:12.9pt;width:12.3pt;" o:ole="t" filled="f" o:preferrelative="t" stroked="f" coordsize="21600,21600">
            <v:path/>
            <v:fill on="f" focussize="0,0"/>
            <v:stroke on="f"/>
            <v:imagedata r:id="rId26" o:title=""/>
            <o:lock v:ext="edit" aspectratio="t"/>
            <w10:wrap type="none"/>
            <w10:anchorlock/>
          </v:shape>
          <o:OLEObject Type="Embed" ProgID="Equation.3" ShapeID="_x0000_i1033" DrawAspect="Content" ObjectID="_1468075733" r:id="rId25">
            <o:LockedField>false</o:LockedField>
          </o:OLEObject>
        </w:object>
      </w:r>
      <w:r>
        <w:rPr>
          <w:rFonts w:hint="default" w:ascii="Times New Roman" w:hAnsi="Times New Roman" w:cs="Times New Roman" w:eastAsiaTheme="minorEastAsia"/>
          <w:szCs w:val="21"/>
          <w:highlight w:val="none"/>
        </w:rPr>
        <w:t>主轴的力矩；</w:t>
      </w:r>
    </w:p>
    <w:p w14:paraId="45B5CBDC">
      <w:pPr>
        <w:keepNext w:val="0"/>
        <w:keepLines w:val="0"/>
        <w:pageBreakBefore w:val="0"/>
        <w:widowControl w:val="0"/>
        <w:kinsoku/>
        <w:wordWrap/>
        <w:overflowPunct/>
        <w:topLinePunct w:val="0"/>
        <w:autoSpaceDE/>
        <w:autoSpaceDN/>
        <w:bidi w:val="0"/>
        <w:adjustRightInd/>
        <w:snapToGrid/>
        <w:spacing w:line="312" w:lineRule="exact"/>
        <w:ind w:left="1470" w:leftChars="200" w:hanging="1050" w:hangingChars="500"/>
        <w:textAlignment w:val="auto"/>
        <w:rPr>
          <w:rFonts w:ascii="Times New Roman" w:hAnsi="Times New Roman" w:cs="Times New Roman" w:eastAsiaTheme="minorEastAsia"/>
          <w:szCs w:val="21"/>
          <w:highlight w:val="none"/>
        </w:rPr>
      </w:pPr>
      <w:r>
        <w:rPr>
          <w:rFonts w:hint="default" w:ascii="Times New Roman" w:hAnsi="Times New Roman" w:cs="Times New Roman" w:eastAsiaTheme="minorEastAsia"/>
          <w:position w:val="-12"/>
          <w:szCs w:val="21"/>
          <w:highlight w:val="none"/>
        </w:rPr>
        <w:object>
          <v:shape id="_x0000_i1034" o:spt="75" type="#_x0000_t75" style="height:18pt;width:18pt;" o:ole="t" filled="f" o:preferrelative="t" stroked="f" coordsize="21600,21600">
            <v:path/>
            <v:fill on="f" focussize="0,0"/>
            <v:stroke on="f" joinstyle="miter"/>
            <v:imagedata r:id="rId28" o:title=""/>
            <o:lock v:ext="edit" aspectratio="t"/>
            <w10:wrap type="none"/>
            <w10:anchorlock/>
          </v:shape>
          <o:OLEObject Type="Embed" ProgID="Equation.3" ShapeID="_x0000_i1034" DrawAspect="Content" ObjectID="_1468075734" r:id="rId27">
            <o:LockedField>false</o:LockedField>
          </o:OLEObject>
        </w:object>
      </w:r>
      <w:r>
        <w:rPr>
          <w:rFonts w:hint="default" w:ascii="Times New Roman" w:hAnsi="Times New Roman" w:cs="Times New Roman" w:eastAsiaTheme="minorEastAsia"/>
          <w:w w:val="160"/>
          <w:szCs w:val="21"/>
          <w:highlight w:val="none"/>
        </w:rPr>
        <w:t xml:space="preserve"> </w:t>
      </w:r>
      <w:r>
        <w:rPr>
          <w:rFonts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rPr>
        <w:t xml:space="preserve"> 荷载效应标准组合轴心竖向力作用下任一单桩的竖向力；</w:t>
      </w:r>
    </w:p>
    <w:p w14:paraId="65E737D9">
      <w:pPr>
        <w:keepNext w:val="0"/>
        <w:keepLines w:val="0"/>
        <w:pageBreakBefore w:val="0"/>
        <w:widowControl w:val="0"/>
        <w:kinsoku/>
        <w:wordWrap/>
        <w:overflowPunct/>
        <w:topLinePunct w:val="0"/>
        <w:autoSpaceDE/>
        <w:autoSpaceDN/>
        <w:bidi w:val="0"/>
        <w:adjustRightInd/>
        <w:snapToGrid/>
        <w:spacing w:line="312" w:lineRule="exact"/>
        <w:ind w:left="1470" w:leftChars="200" w:hanging="1050" w:hangingChars="500"/>
        <w:textAlignment w:val="auto"/>
        <w:rPr>
          <w:rFonts w:ascii="Times New Roman" w:hAnsi="Times New Roman" w:cs="Times New Roman" w:eastAsiaTheme="minorEastAsia"/>
          <w:szCs w:val="21"/>
          <w:highlight w:val="none"/>
        </w:rPr>
      </w:pPr>
      <w:r>
        <w:rPr>
          <w:rFonts w:hint="default" w:ascii="Times New Roman" w:hAnsi="Times New Roman" w:cs="Times New Roman" w:eastAsiaTheme="minorEastAsia"/>
          <w:position w:val="-12"/>
          <w:szCs w:val="21"/>
          <w:highlight w:val="none"/>
        </w:rPr>
        <w:object>
          <v:shape id="_x0000_i1035" o:spt="75" type="#_x0000_t75" style="height:18pt;width:19.7pt;" o:ole="t" filled="f" o:preferrelative="t" stroked="f" coordsize="21600,21600">
            <v:path/>
            <v:fill on="f" focussize="0,0"/>
            <v:stroke on="f" joinstyle="miter"/>
            <v:imagedata r:id="rId30" o:title=""/>
            <o:lock v:ext="edit" aspectratio="t"/>
            <w10:wrap type="none"/>
            <w10:anchorlock/>
          </v:shape>
          <o:OLEObject Type="Embed" ProgID="Equation.3" ShapeID="_x0000_i1035" DrawAspect="Content" ObjectID="_1468075735" r:id="rId29">
            <o:LockedField>false</o:LockedField>
          </o:OLEObject>
        </w:object>
      </w:r>
      <w:r>
        <w:rPr>
          <w:rFonts w:hint="default" w:ascii="Times New Roman" w:hAnsi="Times New Roman" w:cs="Times New Roman" w:eastAsiaTheme="minorEastAsia"/>
          <w:w w:val="120"/>
          <w:szCs w:val="21"/>
          <w:highlight w:val="none"/>
        </w:rPr>
        <w:t xml:space="preserve"> </w:t>
      </w:r>
      <w:r>
        <w:rPr>
          <w:rFonts w:hint="default"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rPr>
        <w:t xml:space="preserve"> 荷载效应标准组合偏心竖向力作用下第</w:t>
      </w:r>
      <w:r>
        <w:rPr>
          <w:rFonts w:hint="default" w:ascii="Times New Roman" w:hAnsi="Times New Roman" w:cs="Times New Roman" w:eastAsiaTheme="minorEastAsia"/>
          <w:position w:val="-6"/>
          <w:szCs w:val="21"/>
          <w:highlight w:val="none"/>
        </w:rPr>
        <w:object>
          <v:shape id="_x0000_i1036" o:spt="75" type="#_x0000_t75" style="height:12.85pt;width:7.7pt;" o:ole="t" filled="f" o:preferrelative="t" stroked="f" coordsize="21600,21600">
            <v:path/>
            <v:fill on="f" focussize="0,0"/>
            <v:stroke on="f" joinstyle="miter"/>
            <v:imagedata r:id="rId18" o:title=""/>
            <o:lock v:ext="edit" aspectratio="t"/>
            <w10:wrap type="none"/>
            <w10:anchorlock/>
          </v:shape>
          <o:OLEObject Type="Embed" ProgID="Equation.3" ShapeID="_x0000_i1036" DrawAspect="Content" ObjectID="_1468075736" r:id="rId31">
            <o:LockedField>false</o:LockedField>
          </o:OLEObject>
        </w:object>
      </w:r>
      <w:r>
        <w:rPr>
          <w:rFonts w:hint="default" w:ascii="Times New Roman" w:hAnsi="Times New Roman" w:cs="Times New Roman" w:eastAsiaTheme="minorEastAsia"/>
          <w:szCs w:val="21"/>
          <w:highlight w:val="none"/>
        </w:rPr>
        <w:t>基桩的竖向力；</w:t>
      </w:r>
    </w:p>
    <w:p w14:paraId="48F8F143">
      <w:pPr>
        <w:spacing w:line="312" w:lineRule="exact"/>
        <w:rPr>
          <w:rFonts w:hint="default" w:ascii="Times New Roman" w:hAnsi="Times New Roman" w:eastAsiaTheme="minorEastAsia"/>
          <w:bCs/>
          <w:kern w:val="0"/>
          <w:szCs w:val="21"/>
          <w:highlight w:val="none"/>
        </w:rPr>
      </w:pPr>
      <w:bookmarkStart w:id="31" w:name="_Toc28080"/>
      <w:r>
        <w:rPr>
          <w:rFonts w:ascii="Times New Roman" w:hAnsi="Times New Roman" w:eastAsia="黑体"/>
          <w:b/>
          <w:bCs/>
          <w:kern w:val="0"/>
          <w:szCs w:val="21"/>
          <w:highlight w:val="none"/>
        </w:rPr>
        <w:t>2.</w:t>
      </w:r>
      <w:r>
        <w:rPr>
          <w:rFonts w:hint="default" w:ascii="Times New Roman" w:hAnsi="Times New Roman" w:eastAsia="黑体"/>
          <w:b/>
          <w:bCs/>
          <w:kern w:val="0"/>
          <w:szCs w:val="21"/>
          <w:highlight w:val="none"/>
          <w:lang w:val="en-US" w:eastAsia="zh-CN"/>
        </w:rPr>
        <w:t>2</w:t>
      </w:r>
      <w:r>
        <w:rPr>
          <w:rFonts w:ascii="Times New Roman" w:hAnsi="Times New Roman" w:eastAsia="黑体"/>
          <w:b/>
          <w:bCs/>
          <w:kern w:val="0"/>
          <w:szCs w:val="21"/>
          <w:highlight w:val="none"/>
        </w:rPr>
        <w:t>.</w:t>
      </w:r>
      <w:r>
        <w:rPr>
          <w:rFonts w:hint="default" w:ascii="Times New Roman" w:hAnsi="Times New Roman" w:eastAsia="黑体"/>
          <w:b/>
          <w:bCs/>
          <w:kern w:val="0"/>
          <w:szCs w:val="21"/>
          <w:highlight w:val="none"/>
          <w:lang w:val="en-US" w:eastAsia="zh-CN"/>
        </w:rPr>
        <w:t>2</w:t>
      </w:r>
      <w:r>
        <w:rPr>
          <w:rFonts w:hint="default" w:ascii="Times New Roman" w:hAnsi="Times New Roman" w:eastAsiaTheme="minorEastAsia"/>
          <w:bCs/>
          <w:kern w:val="0"/>
          <w:szCs w:val="21"/>
          <w:highlight w:val="none"/>
        </w:rPr>
        <w:t xml:space="preserve"> 抗力和材料性能</w:t>
      </w:r>
      <w:bookmarkEnd w:id="31"/>
    </w:p>
    <w:p w14:paraId="570F0569">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420" w:firstLineChars="200"/>
        <w:textAlignment w:val="auto"/>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position w:val="-12"/>
          <w:szCs w:val="21"/>
          <w:highlight w:val="none"/>
        </w:rPr>
        <w:object>
          <v:shape id="_x0000_i1037" o:spt="75" type="#_x0000_t75" style="height:18.1pt;width:13.15pt;" o:ole="t" filled="f" o:preferrelative="t" stroked="f" coordsize="21600,21600">
            <v:path/>
            <v:fill on="f" focussize="0,0"/>
            <v:stroke on="f"/>
            <v:imagedata r:id="rId33" o:title=""/>
            <o:lock v:ext="edit" aspectratio="t"/>
            <w10:wrap type="none"/>
            <w10:anchorlock/>
          </v:shape>
          <o:OLEObject Type="Embed" ProgID="Equation.3" ShapeID="_x0000_i1037" DrawAspect="Content" ObjectID="_1468075737" r:id="rId32">
            <o:LockedField>false</o:LockedField>
          </o:OLEObject>
        </w:object>
      </w:r>
      <w:r>
        <w:rPr>
          <w:rFonts w:hint="default" w:ascii="Times New Roman" w:hAnsi="Times New Roman" w:cs="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rPr>
        <w:t xml:space="preserve"> 混凝土轴心抗压强度设计值；</w:t>
      </w:r>
    </w:p>
    <w:p w14:paraId="06BB1087">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420" w:firstLineChars="200"/>
        <w:textAlignment w:val="auto"/>
        <w:rPr>
          <w:rFonts w:ascii="Times New Roman" w:hAnsi="Times New Roman" w:cs="Times New Roman" w:eastAsiaTheme="minorEastAsia"/>
          <w:szCs w:val="21"/>
          <w:highlight w:val="none"/>
        </w:rPr>
      </w:pPr>
      <w:r>
        <w:rPr>
          <w:rFonts w:hint="default" w:ascii="Times New Roman" w:hAnsi="Times New Roman" w:cs="Times New Roman" w:eastAsiaTheme="minorEastAsia"/>
          <w:position w:val="-12"/>
          <w:szCs w:val="21"/>
          <w:highlight w:val="none"/>
        </w:rPr>
        <w:object>
          <v:shape id="_x0000_i1038" o:spt="75" type="#_x0000_t75" style="height:18.1pt;width:17.2pt;" o:ole="t" filled="f" o:preferrelative="t" stroked="f" coordsize="21600,21600">
            <v:path/>
            <v:fill on="f" focussize="0,0"/>
            <v:stroke on="f"/>
            <v:imagedata r:id="rId35" o:title=""/>
            <o:lock v:ext="edit" aspectratio="t"/>
            <w10:wrap type="none"/>
            <w10:anchorlock/>
          </v:shape>
          <o:OLEObject Type="Embed" ProgID="Equation.3" ShapeID="_x0000_i1038" DrawAspect="Content" ObjectID="_1468075738" r:id="rId34">
            <o:LockedField>false</o:LockedField>
          </o:OLEObject>
        </w:object>
      </w:r>
      <w:r>
        <w:rPr>
          <w:rFonts w:hint="default" w:ascii="Times New Roman" w:hAnsi="Times New Roman" w:cs="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rPr>
        <w:t xml:space="preserve"> </w:t>
      </w:r>
      <w:r>
        <w:rPr>
          <w:rFonts w:hint="eastAsia" w:ascii="Times New Roman" w:hAnsi="Times New Roman" w:cs="Times New Roman" w:eastAsiaTheme="minorEastAsia"/>
          <w:szCs w:val="21"/>
          <w:highlight w:val="none"/>
          <w:lang w:val="en-US" w:eastAsia="zh-CN"/>
        </w:rPr>
        <w:t>岩石饱和单轴抗压强度标准值</w:t>
      </w:r>
      <w:r>
        <w:rPr>
          <w:rFonts w:hint="default" w:ascii="Times New Roman" w:hAnsi="Times New Roman" w:cs="Times New Roman" w:eastAsiaTheme="minorEastAsia"/>
          <w:szCs w:val="21"/>
          <w:highlight w:val="none"/>
        </w:rPr>
        <w:t>；</w:t>
      </w:r>
    </w:p>
    <w:p w14:paraId="7C51C533">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420" w:firstLineChars="200"/>
        <w:textAlignment w:val="auto"/>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39" o:spt="75" type="#_x0000_t75" style="height:18pt;width:18pt;" o:ole="t" filled="f" o:preferrelative="t" stroked="f" coordsize="21600,21600">
            <v:path/>
            <v:fill on="f" focussize="0,0"/>
            <v:stroke on="f" joinstyle="miter"/>
            <v:imagedata r:id="rId37" o:title=""/>
            <o:lock v:ext="edit" aspectratio="t"/>
            <w10:wrap type="none"/>
            <w10:anchorlock/>
          </v:shape>
          <o:OLEObject Type="Embed" ProgID="Equation.3" ShapeID="_x0000_i1039" DrawAspect="Content" ObjectID="_1468075739" r:id="rId36">
            <o:LockedField>false</o:LockedField>
          </o:OLEObject>
        </w:object>
      </w:r>
      <w:r>
        <w:rPr>
          <w:rFonts w:ascii="Times New Roman" w:hAnsi="Times New Roman" w:eastAsiaTheme="minorEastAsia"/>
          <w:w w:val="140"/>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桩侧</w:t>
      </w:r>
      <w:r>
        <w:rPr>
          <w:rFonts w:hint="eastAsia"/>
          <w:bCs/>
          <w:szCs w:val="18"/>
          <w:highlight w:val="none"/>
        </w:rPr>
        <w:t>第</w:t>
      </w:r>
      <w:r>
        <w:rPr>
          <w:bCs/>
          <w:i/>
          <w:iCs/>
          <w:szCs w:val="18"/>
          <w:highlight w:val="none"/>
        </w:rPr>
        <w:t>i</w:t>
      </w:r>
      <w:r>
        <w:rPr>
          <w:rFonts w:hint="eastAsia"/>
          <w:bCs/>
          <w:szCs w:val="18"/>
          <w:highlight w:val="none"/>
        </w:rPr>
        <w:t>土层极限侧阻力标准值</w:t>
      </w:r>
      <w:r>
        <w:rPr>
          <w:rFonts w:ascii="Times New Roman" w:hAnsi="Times New Roman" w:eastAsiaTheme="minorEastAsia"/>
          <w:szCs w:val="21"/>
          <w:highlight w:val="none"/>
        </w:rPr>
        <w:t>；</w:t>
      </w:r>
    </w:p>
    <w:p w14:paraId="19792156">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420" w:firstLineChars="200"/>
        <w:textAlignment w:val="auto"/>
        <w:rPr>
          <w:rFonts w:ascii="Times New Roman" w:hAnsi="Times New Roman" w:eastAsiaTheme="minorEastAsia"/>
          <w:szCs w:val="21"/>
          <w:highlight w:val="none"/>
        </w:rPr>
      </w:pPr>
      <w:r>
        <w:rPr>
          <w:rFonts w:ascii="Times New Roman" w:hAnsi="Times New Roman" w:eastAsiaTheme="minorEastAsia"/>
          <w:position w:val="-14"/>
          <w:szCs w:val="21"/>
          <w:highlight w:val="none"/>
        </w:rPr>
        <w:object>
          <v:shape id="_x0000_i1040" o:spt="75" type="#_x0000_t75" style="height:19.7pt;width:18pt;" o:ole="t" filled="f" o:preferrelative="t" stroked="f" coordsize="21600,21600">
            <v:path/>
            <v:fill on="f" focussize="0,0"/>
            <v:stroke on="f" joinstyle="miter"/>
            <v:imagedata r:id="rId39" o:title=""/>
            <o:lock v:ext="edit" aspectratio="t"/>
            <w10:wrap type="none"/>
            <w10:anchorlock/>
          </v:shape>
          <o:OLEObject Type="Embed" ProgID="Equation.3" ShapeID="_x0000_i1040" DrawAspect="Content" ObjectID="_1468075740" r:id="rId38">
            <o:LockedField>false</o:LockedField>
          </o:OLEObject>
        </w:object>
      </w:r>
      <w:r>
        <w:rPr>
          <w:rFonts w:hint="eastAsia" w:ascii="Times New Roman" w:hAnsi="Times New Roman" w:eastAsiaTheme="minorEastAsia"/>
          <w:position w:val="-14"/>
          <w:szCs w:val="21"/>
          <w:highlight w:val="none"/>
          <w:lang w:val="en-US" w:eastAsia="zh-CN"/>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极限端阻力标准值；</w:t>
      </w:r>
    </w:p>
    <w:p w14:paraId="6620072C">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left="1470" w:leftChars="200" w:hanging="1050" w:hangingChars="500"/>
        <w:textAlignment w:val="auto"/>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41" o:spt="75" type="#_x0000_t75" style="height:18pt;width:18pt;" o:ole="t" filled="f" o:preferrelative="t" stroked="f" coordsize="21600,21600">
            <v:path/>
            <v:fill on="f" focussize="0,0"/>
            <v:stroke on="f"/>
            <v:imagedata r:id="rId41" o:title=""/>
            <o:lock v:ext="edit" aspectratio="t"/>
            <w10:wrap type="none"/>
            <w10:anchorlock/>
          </v:shape>
          <o:OLEObject Type="Embed" ProgID="Equation.3" ShapeID="_x0000_i1041" DrawAspect="Content" ObjectID="_1468075741" r:id="rId40">
            <o:LockedField>false</o:LockedField>
          </o:OLEObject>
        </w:object>
      </w:r>
      <w:r>
        <w:rPr>
          <w:rFonts w:ascii="Times New Roman" w:hAnsi="Times New Roman" w:eastAsiaTheme="minorEastAsia"/>
          <w:w w:val="140"/>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highlight w:val="none"/>
        </w:rPr>
        <w:t>第</w:t>
      </w:r>
      <w:r>
        <w:rPr>
          <w:rFonts w:hint="eastAsia" w:eastAsia="Times New Roman"/>
          <w:i/>
          <w:highlight w:val="none"/>
        </w:rPr>
        <w:t>i</w:t>
      </w:r>
      <w:r>
        <w:rPr>
          <w:rFonts w:hint="eastAsia"/>
          <w:highlight w:val="none"/>
        </w:rPr>
        <w:t>层土</w:t>
      </w:r>
      <w:r>
        <w:rPr>
          <w:rFonts w:hint="eastAsia"/>
          <w:highlight w:val="none"/>
          <w:lang w:val="en-US" w:eastAsia="zh-CN"/>
        </w:rPr>
        <w:t>处，内</w:t>
      </w:r>
      <w:r>
        <w:rPr>
          <w:rFonts w:hint="eastAsia"/>
          <w:highlight w:val="none"/>
        </w:rPr>
        <w:t>外芯界面的极限侧阻力标准值</w:t>
      </w:r>
      <w:r>
        <w:rPr>
          <w:rFonts w:ascii="Times New Roman" w:hAnsi="Times New Roman" w:eastAsiaTheme="minorEastAsia"/>
          <w:szCs w:val="21"/>
          <w:highlight w:val="none"/>
        </w:rPr>
        <w:t>；</w:t>
      </w:r>
    </w:p>
    <w:p w14:paraId="216062A3">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420" w:firstLineChars="200"/>
        <w:textAlignment w:val="auto"/>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42" o:spt="75" type="#_x0000_t75" style="height:18pt;width:19.7pt;" o:ole="t" filled="f" o:preferrelative="t" stroked="f" coordsize="21600,21600">
            <v:path/>
            <v:fill on="f" focussize="0,0"/>
            <v:stroke on="f" joinstyle="miter"/>
            <v:imagedata r:id="rId43" o:title=""/>
            <o:lock v:ext="edit" aspectratio="t"/>
            <w10:wrap type="none"/>
            <w10:anchorlock/>
          </v:shape>
          <o:OLEObject Type="Embed" ProgID="Equation.3" ShapeID="_x0000_i1042" DrawAspect="Content" ObjectID="_1468075742" r:id="rId42">
            <o:LockedField>false</o:LockedField>
          </o:OLEObject>
        </w:object>
      </w:r>
      <w:r>
        <w:rPr>
          <w:rFonts w:ascii="Times New Roman" w:hAnsi="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单桩</w:t>
      </w:r>
      <w:r>
        <w:rPr>
          <w:rFonts w:hint="default" w:ascii="Times New Roman" w:hAnsi="Times New Roman" w:eastAsiaTheme="minorEastAsia"/>
          <w:szCs w:val="21"/>
          <w:highlight w:val="none"/>
        </w:rPr>
        <w:t>竖向</w:t>
      </w:r>
      <w:r>
        <w:rPr>
          <w:rFonts w:ascii="Times New Roman" w:hAnsi="Times New Roman" w:eastAsiaTheme="minorEastAsia"/>
          <w:szCs w:val="21"/>
          <w:highlight w:val="none"/>
        </w:rPr>
        <w:t>极限</w:t>
      </w:r>
      <w:r>
        <w:rPr>
          <w:rFonts w:hint="default" w:ascii="Times New Roman" w:hAnsi="Times New Roman" w:cs="Times New Roman" w:eastAsiaTheme="minorEastAsia"/>
          <w:szCs w:val="21"/>
          <w:highlight w:val="none"/>
        </w:rPr>
        <w:t>承载力</w:t>
      </w:r>
      <w:r>
        <w:rPr>
          <w:rFonts w:ascii="Times New Roman" w:hAnsi="Times New Roman" w:eastAsiaTheme="minorEastAsia"/>
          <w:szCs w:val="21"/>
          <w:highlight w:val="none"/>
        </w:rPr>
        <w:t>标准值；</w:t>
      </w:r>
    </w:p>
    <w:p w14:paraId="02C4E6FF">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left="1470" w:leftChars="200" w:hanging="1050" w:hangingChars="500"/>
        <w:textAlignment w:val="auto"/>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43" o:spt="75" type="#_x0000_t75" style="height:18pt;width:15pt;" o:ole="t" filled="f" o:preferrelative="t" stroked="f" coordsize="21600,21600">
            <v:path/>
            <v:fill on="f" focussize="0,0"/>
            <v:stroke on="f" joinstyle="miter"/>
            <v:imagedata r:id="rId45" o:title=""/>
            <o:lock v:ext="edit" aspectratio="t"/>
            <w10:wrap type="none"/>
            <w10:anchorlock/>
          </v:shape>
          <o:OLEObject Type="Embed" ProgID="Equation.3" ShapeID="_x0000_i1043" DrawAspect="Content" ObjectID="_1468075743" r:id="rId44">
            <o:LockedField>false</o:LockedField>
          </o:OLEObject>
        </w:object>
      </w:r>
      <w:r>
        <w:rPr>
          <w:rFonts w:ascii="Times New Roman" w:hAnsi="Times New Roman" w:eastAsiaTheme="minorEastAsia"/>
          <w:szCs w:val="21"/>
          <w:highlight w:val="none"/>
        </w:rPr>
        <w:t xml:space="preserve"> </w:t>
      </w:r>
      <w:r>
        <w:rPr>
          <w:rFonts w:ascii="Times New Roman" w:hAnsi="Times New Roman" w:eastAsiaTheme="minorEastAsia"/>
          <w:w w:val="70"/>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基桩中的单桩竖向承载力特征值</w:t>
      </w:r>
      <w:r>
        <w:rPr>
          <w:rFonts w:hint="default" w:ascii="Times New Roman" w:hAnsi="Times New Roman" w:eastAsiaTheme="minorEastAsia"/>
          <w:szCs w:val="21"/>
          <w:highlight w:val="none"/>
        </w:rPr>
        <w:t>；</w:t>
      </w:r>
    </w:p>
    <w:p w14:paraId="3FAEDDB8">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420" w:firstLineChars="200"/>
        <w:textAlignment w:val="auto"/>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44" o:spt="75" type="#_x0000_t75" style="height:18pt;width:15pt;" o:ole="t" filled="f" o:preferrelative="t" stroked="f" coordsize="21600,21600">
            <v:path/>
            <v:fill on="f" focussize="0,0"/>
            <v:stroke on="f" joinstyle="miter"/>
            <v:imagedata r:id="rId47" o:title=""/>
            <o:lock v:ext="edit" aspectratio="t"/>
            <w10:wrap type="none"/>
            <w10:anchorlock/>
          </v:shape>
          <o:OLEObject Type="Embed" ProgID="Equation.3" ShapeID="_x0000_i1044" DrawAspect="Content" ObjectID="_1468075744" r:id="rId46">
            <o:LockedField>false</o:LockedField>
          </o:OLEObject>
        </w:object>
      </w:r>
      <w:r>
        <w:rPr>
          <w:rFonts w:ascii="Times New Roman" w:hAnsi="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单桩基桩或群桩中基桩的水平承载力特征值；</w:t>
      </w:r>
    </w:p>
    <w:p w14:paraId="3FA1EF45">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420" w:firstLineChars="200"/>
        <w:textAlignment w:val="auto"/>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45" o:spt="75" type="#_x0000_t75" style="height:18pt;width:13.95pt;" o:ole="t" filled="f" o:preferrelative="t" stroked="f" coordsize="21600,21600">
            <v:path/>
            <v:fill on="f" focussize="0,0"/>
            <v:stroke on="f"/>
            <v:imagedata r:id="rId49" o:title=""/>
            <o:lock v:ext="edit" aspectratio="t"/>
            <w10:wrap type="none"/>
            <w10:anchorlock/>
          </v:shape>
          <o:OLEObject Type="Embed" ProgID="Equation.3" ShapeID="_x0000_i1045" DrawAspect="Content" ObjectID="_1468075745" r:id="rId48">
            <o:LockedField>false</o:LockedField>
          </o:OLEObject>
        </w:object>
      </w:r>
      <w:r>
        <w:rPr>
          <w:rFonts w:ascii="Times New Roman" w:hAnsi="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单</w:t>
      </w:r>
      <w:r>
        <w:rPr>
          <w:rFonts w:ascii="Times New Roman" w:hAnsi="Times New Roman" w:eastAsiaTheme="minorEastAsia"/>
          <w:szCs w:val="21"/>
          <w:highlight w:val="none"/>
        </w:rPr>
        <w:t>桩</w:t>
      </w:r>
      <w:r>
        <w:rPr>
          <w:rFonts w:hint="eastAsia" w:ascii="Times New Roman" w:hAnsi="Times New Roman" w:eastAsiaTheme="minorEastAsia"/>
          <w:szCs w:val="21"/>
          <w:highlight w:val="none"/>
          <w:lang w:val="en-US" w:eastAsia="zh-CN"/>
        </w:rPr>
        <w:t>抗拔</w:t>
      </w:r>
      <w:r>
        <w:rPr>
          <w:rFonts w:ascii="Times New Roman" w:hAnsi="Times New Roman" w:eastAsiaTheme="minorEastAsia"/>
          <w:szCs w:val="21"/>
          <w:highlight w:val="none"/>
        </w:rPr>
        <w:t>承载力特征值；</w:t>
      </w:r>
    </w:p>
    <w:p w14:paraId="28A9D592">
      <w:pPr>
        <w:spacing w:line="312" w:lineRule="exact"/>
        <w:rPr>
          <w:rFonts w:hint="default" w:ascii="Times New Roman" w:hAnsi="Times New Roman" w:eastAsiaTheme="minorEastAsia"/>
          <w:bCs/>
          <w:kern w:val="0"/>
          <w:szCs w:val="21"/>
          <w:highlight w:val="none"/>
        </w:rPr>
      </w:pPr>
      <w:bookmarkStart w:id="32" w:name="_Toc8468"/>
      <w:r>
        <w:rPr>
          <w:rFonts w:ascii="Times New Roman" w:hAnsi="Times New Roman" w:eastAsia="黑体"/>
          <w:b/>
          <w:bCs/>
          <w:kern w:val="0"/>
          <w:szCs w:val="21"/>
          <w:highlight w:val="none"/>
        </w:rPr>
        <w:t>2.</w:t>
      </w:r>
      <w:r>
        <w:rPr>
          <w:rFonts w:hint="default" w:ascii="Times New Roman" w:hAnsi="Times New Roman" w:eastAsia="黑体"/>
          <w:b/>
          <w:bCs/>
          <w:kern w:val="0"/>
          <w:szCs w:val="21"/>
          <w:highlight w:val="none"/>
          <w:lang w:val="en-US" w:eastAsia="zh-CN"/>
        </w:rPr>
        <w:t>2</w:t>
      </w:r>
      <w:r>
        <w:rPr>
          <w:rFonts w:ascii="Times New Roman" w:hAnsi="Times New Roman" w:eastAsia="黑体"/>
          <w:b/>
          <w:bCs/>
          <w:kern w:val="0"/>
          <w:szCs w:val="21"/>
          <w:highlight w:val="none"/>
        </w:rPr>
        <w:t>.</w:t>
      </w:r>
      <w:r>
        <w:rPr>
          <w:rFonts w:hint="default" w:ascii="Times New Roman" w:hAnsi="Times New Roman" w:eastAsia="黑体"/>
          <w:b/>
          <w:bCs/>
          <w:kern w:val="0"/>
          <w:szCs w:val="21"/>
          <w:highlight w:val="none"/>
          <w:lang w:val="en-US" w:eastAsia="zh-CN"/>
        </w:rPr>
        <w:t>3</w:t>
      </w:r>
      <w:r>
        <w:rPr>
          <w:rFonts w:hint="default" w:ascii="Times New Roman" w:hAnsi="Times New Roman" w:eastAsiaTheme="minorEastAsia"/>
          <w:bCs/>
          <w:kern w:val="0"/>
          <w:szCs w:val="21"/>
          <w:highlight w:val="none"/>
        </w:rPr>
        <w:t xml:space="preserve"> 几何参数</w:t>
      </w:r>
      <w:bookmarkEnd w:id="32"/>
    </w:p>
    <w:p w14:paraId="04EDADB1">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577" w:firstLineChars="275"/>
        <w:textAlignment w:val="auto"/>
        <w:rPr>
          <w:rFonts w:ascii="Times New Roman" w:hAnsi="Times New Roman" w:eastAsiaTheme="minorEastAsia"/>
          <w:szCs w:val="21"/>
          <w:highlight w:val="none"/>
        </w:rPr>
      </w:pPr>
      <w:r>
        <w:rPr>
          <w:rFonts w:ascii="Times New Roman" w:hAnsi="Times New Roman" w:eastAsiaTheme="minorEastAsia"/>
          <w:position w:val="-14"/>
          <w:szCs w:val="21"/>
          <w:highlight w:val="none"/>
        </w:rPr>
        <w:object>
          <v:shape id="_x0000_i1046" o:spt="75" type="#_x0000_t75" style="height:19.7pt;width:15pt;" o:ole="t" filled="f" o:preferrelative="t" stroked="f" coordsize="21600,21600">
            <v:path/>
            <v:fill on="f" focussize="0,0"/>
            <v:stroke on="f"/>
            <v:imagedata r:id="rId51" o:title=""/>
            <o:lock v:ext="edit" aspectratio="t"/>
            <w10:wrap type="none"/>
            <w10:anchorlock/>
          </v:shape>
          <o:OLEObject Type="Embed" ProgID="Equation.3" ShapeID="_x0000_i1046" DrawAspect="Content" ObjectID="_1468075746" r:id="rId50">
            <o:LockedField>false</o:LockedField>
          </o:OLEObject>
        </w:object>
      </w:r>
      <w:r>
        <w:rPr>
          <w:rFonts w:ascii="Times New Roman" w:hAnsi="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芯桩全截面</w:t>
      </w:r>
      <w:r>
        <w:rPr>
          <w:rFonts w:ascii="Times New Roman" w:hAnsi="Times New Roman" w:eastAsiaTheme="minorEastAsia"/>
          <w:szCs w:val="21"/>
          <w:highlight w:val="none"/>
        </w:rPr>
        <w:t>面积；</w:t>
      </w:r>
    </w:p>
    <w:p w14:paraId="092FC2E8">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577" w:firstLineChars="275"/>
        <w:textAlignment w:val="auto"/>
        <w:rPr>
          <w:rFonts w:ascii="Times New Roman" w:hAnsi="Times New Roman" w:eastAsiaTheme="minorEastAsia"/>
          <w:szCs w:val="21"/>
          <w:highlight w:val="none"/>
        </w:rPr>
      </w:pPr>
      <w:r>
        <w:rPr>
          <w:rFonts w:ascii="Times New Roman" w:hAnsi="Times New Roman" w:eastAsiaTheme="minorEastAsia"/>
          <w:position w:val="-14"/>
          <w:szCs w:val="21"/>
          <w:highlight w:val="none"/>
        </w:rPr>
        <w:object>
          <v:shape id="_x0000_i1047" o:spt="75" type="#_x0000_t75" style="height:19.7pt;width:13.1pt;" o:ole="t" filled="f" o:preferrelative="t" stroked="f" coordsize="21600,21600">
            <v:path/>
            <v:fill on="f" focussize="0,0"/>
            <v:stroke on="f"/>
            <v:imagedata r:id="rId53" o:title=""/>
            <o:lock v:ext="edit" aspectratio="t"/>
            <w10:wrap type="none"/>
            <w10:anchorlock/>
          </v:shape>
          <o:OLEObject Type="Embed" ProgID="Equation.3" ShapeID="_x0000_i1047" DrawAspect="Content" ObjectID="_1468075747" r:id="rId52">
            <o:LockedField>false</o:LockedField>
          </o:OLEObject>
        </w:object>
      </w:r>
      <w:r>
        <w:rPr>
          <w:rFonts w:hint="eastAsia" w:ascii="Times New Roman" w:hAnsi="Times New Roman" w:eastAsiaTheme="minorEastAsia"/>
          <w:position w:val="-14"/>
          <w:szCs w:val="21"/>
          <w:highlight w:val="none"/>
          <w:lang w:val="en-US" w:eastAsia="zh-CN"/>
        </w:rPr>
        <w:t xml:space="preserve">  </w:t>
      </w:r>
      <w:r>
        <w:rPr>
          <w:rFonts w:ascii="Times New Roman" w:hAnsi="Times New Roman"/>
          <w:color w:val="auto"/>
          <w:highlight w:val="none"/>
        </w:rPr>
        <w:t>——</w:t>
      </w:r>
      <w:r>
        <w:rPr>
          <w:rFonts w:hint="eastAsia" w:ascii="Times New Roman" w:hAnsi="Times New Roman"/>
          <w:color w:val="auto"/>
          <w:highlight w:val="none"/>
          <w:lang w:val="en-US" w:eastAsia="zh-CN"/>
        </w:rPr>
        <w:t xml:space="preserve"> </w:t>
      </w:r>
      <w:r>
        <w:rPr>
          <w:rFonts w:hint="eastAsia" w:ascii="Times New Roman" w:hAnsi="Times New Roman" w:eastAsiaTheme="minorEastAsia"/>
          <w:szCs w:val="21"/>
          <w:highlight w:val="none"/>
          <w:lang w:val="en-US" w:eastAsia="zh-CN"/>
        </w:rPr>
        <w:t>芯桩净截面面积</w:t>
      </w:r>
      <w:r>
        <w:rPr>
          <w:rFonts w:hint="eastAsia"/>
          <w:highlight w:val="none"/>
          <w:lang w:val="en-US" w:eastAsia="zh-CN"/>
        </w:rPr>
        <w:t>；</w:t>
      </w:r>
    </w:p>
    <w:p w14:paraId="1572579E">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577" w:firstLineChars="275"/>
        <w:textAlignment w:val="auto"/>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48" o:spt="75" type="#_x0000_t75" style="height:18pt;width:9.85pt;" o:ole="t" filled="f" o:preferrelative="t" stroked="f" coordsize="21600,21600">
            <v:path/>
            <v:fill on="f" focussize="0,0"/>
            <v:stroke on="f" joinstyle="miter"/>
            <v:imagedata r:id="rId55" o:title=""/>
            <o:lock v:ext="edit" aspectratio="t"/>
            <w10:wrap type="none"/>
            <w10:anchorlock/>
          </v:shape>
          <o:OLEObject Type="Embed" ProgID="Equation.3" ShapeID="_x0000_i1048" DrawAspect="Content" ObjectID="_1468075748" r:id="rId54">
            <o:LockedField>false</o:LockedField>
          </o:OLEObject>
        </w:object>
      </w:r>
      <w:r>
        <w:rPr>
          <w:rFonts w:ascii="Times New Roman" w:hAnsi="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桩周</w:t>
      </w:r>
      <w:r>
        <w:rPr>
          <w:bCs/>
          <w:szCs w:val="18"/>
          <w:highlight w:val="none"/>
        </w:rPr>
        <w:t>第i层岩土的厚度</w:t>
      </w:r>
      <w:r>
        <w:rPr>
          <w:rFonts w:ascii="Times New Roman" w:hAnsi="Times New Roman" w:eastAsiaTheme="minorEastAsia"/>
          <w:szCs w:val="21"/>
          <w:highlight w:val="none"/>
        </w:rPr>
        <w:t>；</w:t>
      </w:r>
    </w:p>
    <w:p w14:paraId="5C4DE9BD">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577" w:firstLineChars="275"/>
        <w:textAlignment w:val="auto"/>
        <w:rPr>
          <w:rFonts w:ascii="Times New Roman" w:hAnsi="Times New Roman" w:eastAsiaTheme="minorEastAsia"/>
          <w:szCs w:val="21"/>
          <w:highlight w:val="none"/>
        </w:rPr>
      </w:pPr>
      <w:r>
        <w:rPr>
          <w:rFonts w:ascii="Times New Roman" w:hAnsi="Times New Roman" w:eastAsiaTheme="minorEastAsia"/>
          <w:position w:val="-6"/>
          <w:szCs w:val="21"/>
          <w:highlight w:val="none"/>
        </w:rPr>
        <w:object>
          <v:shape id="_x0000_i1049" o:spt="75" type="#_x0000_t75" style="height:14.05pt;width:12.15pt;" o:ole="t" filled="f" o:preferrelative="t" stroked="f" coordsize="21600,21600">
            <v:path/>
            <v:fill on="f" focussize="0,0"/>
            <v:stroke on="f"/>
            <v:imagedata r:id="rId57" o:title=""/>
            <o:lock v:ext="edit" aspectratio="t"/>
            <w10:wrap type="none"/>
            <w10:anchorlock/>
          </v:shape>
          <o:OLEObject Type="Embed" ProgID="Equation.3" ShapeID="_x0000_i1049" DrawAspect="Content" ObjectID="_1468075749" r:id="rId56">
            <o:LockedField>false</o:LockedField>
          </o:OLEObject>
        </w:object>
      </w:r>
      <w:r>
        <w:rPr>
          <w:rFonts w:hint="eastAsia" w:ascii="Times New Roman" w:hAnsi="Times New Roman" w:eastAsiaTheme="minorEastAsia"/>
          <w:position w:val="-6"/>
          <w:szCs w:val="21"/>
          <w:highlight w:val="none"/>
          <w:lang w:val="en-US" w:eastAsia="zh-CN"/>
        </w:rPr>
        <w:t xml:space="preserve"> </w:t>
      </w:r>
      <w:r>
        <w:rPr>
          <w:rFonts w:ascii="Times New Roman" w:hAnsi="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芯桩直径或边长</w:t>
      </w:r>
      <w:r>
        <w:rPr>
          <w:rFonts w:ascii="Times New Roman" w:hAnsi="Times New Roman" w:eastAsiaTheme="minorEastAsia"/>
          <w:szCs w:val="21"/>
          <w:highlight w:val="none"/>
        </w:rPr>
        <w:t>；</w:t>
      </w:r>
    </w:p>
    <w:p w14:paraId="69975F3A">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577" w:firstLineChars="275"/>
        <w:textAlignment w:val="auto"/>
        <w:rPr>
          <w:rFonts w:ascii="Times New Roman" w:hAnsi="Times New Roman" w:eastAsiaTheme="minorEastAsia"/>
          <w:szCs w:val="21"/>
          <w:highlight w:val="none"/>
        </w:rPr>
      </w:pPr>
      <w:r>
        <w:rPr>
          <w:rFonts w:ascii="Times New Roman" w:hAnsi="Times New Roman" w:eastAsiaTheme="minorEastAsia"/>
          <w:position w:val="-4"/>
          <w:szCs w:val="21"/>
          <w:highlight w:val="none"/>
        </w:rPr>
        <w:object>
          <v:shape id="_x0000_i1050" o:spt="75" type="#_x0000_t75" style="height:13.1pt;width:14.3pt;" o:ole="t" filled="f" o:preferrelative="t" stroked="f" coordsize="21600,21600">
            <v:path/>
            <v:fill on="f" focussize="0,0"/>
            <v:stroke on="f"/>
            <v:imagedata r:id="rId59" o:title=""/>
            <o:lock v:ext="edit" aspectratio="t"/>
            <w10:wrap type="none"/>
            <w10:anchorlock/>
          </v:shape>
          <o:OLEObject Type="Embed" ProgID="Equation.3" ShapeID="_x0000_i1050" DrawAspect="Content" ObjectID="_1468075750" r:id="rId58">
            <o:LockedField>false</o:LockedField>
          </o:OLEObject>
        </w:object>
      </w:r>
      <w:r>
        <w:rPr>
          <w:rFonts w:hint="eastAsia" w:ascii="Times New Roman" w:hAnsi="Times New Roman" w:eastAsiaTheme="minorEastAsia"/>
          <w:position w:val="-4"/>
          <w:szCs w:val="21"/>
          <w:highlight w:val="none"/>
          <w:lang w:val="en-US" w:eastAsia="zh-CN"/>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外芯直径</w:t>
      </w:r>
      <w:r>
        <w:rPr>
          <w:rFonts w:ascii="Times New Roman" w:hAnsi="Times New Roman" w:eastAsiaTheme="minorEastAsia"/>
          <w:szCs w:val="21"/>
          <w:highlight w:val="none"/>
        </w:rPr>
        <w:t>；</w:t>
      </w:r>
    </w:p>
    <w:p w14:paraId="2458E308">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577" w:firstLineChars="275"/>
        <w:textAlignment w:val="auto"/>
        <w:rPr>
          <w:rFonts w:hint="eastAsia"/>
          <w:bCs/>
          <w:szCs w:val="18"/>
          <w:highlight w:val="none"/>
        </w:rPr>
      </w:pPr>
      <w:r>
        <w:rPr>
          <w:rFonts w:ascii="Times New Roman" w:hAnsi="Times New Roman" w:eastAsiaTheme="minorEastAsia"/>
          <w:position w:val="-12"/>
          <w:szCs w:val="21"/>
          <w:highlight w:val="none"/>
        </w:rPr>
        <w:object>
          <v:shape id="_x0000_i1051" o:spt="75" type="#_x0000_t75" style="height:18.2pt;width:14.4pt;" o:ole="t" filled="f" o:preferrelative="t" stroked="f" coordsize="21600,21600">
            <v:path/>
            <v:fill on="f" focussize="0,0"/>
            <v:stroke on="f"/>
            <v:imagedata r:id="rId61" o:title=""/>
            <o:lock v:ext="edit" aspectratio="t"/>
            <w10:wrap type="none"/>
            <w10:anchorlock/>
          </v:shape>
          <o:OLEObject Type="Embed" ProgID="Equation.3" ShapeID="_x0000_i1051" DrawAspect="Content" ObjectID="_1468075751" r:id="rId60">
            <o:LockedField>false</o:LockedField>
          </o:OLEObject>
        </w:object>
      </w:r>
      <w:r>
        <w:rPr>
          <w:rFonts w:ascii="Times New Roman" w:hAnsi="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芯桩</w:t>
      </w:r>
      <w:r>
        <w:rPr>
          <w:rFonts w:ascii="Times New Roman" w:hAnsi="Times New Roman" w:eastAsiaTheme="minorEastAsia"/>
          <w:szCs w:val="21"/>
          <w:highlight w:val="none"/>
        </w:rPr>
        <w:t>周长</w:t>
      </w:r>
      <w:r>
        <w:rPr>
          <w:rFonts w:hint="eastAsia"/>
          <w:bCs/>
          <w:szCs w:val="18"/>
          <w:highlight w:val="none"/>
        </w:rPr>
        <w:t>；</w:t>
      </w:r>
    </w:p>
    <w:p w14:paraId="40E504D1">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577" w:firstLineChars="275"/>
        <w:textAlignment w:val="auto"/>
        <w:rPr>
          <w:rFonts w:hint="eastAsia"/>
          <w:bCs/>
          <w:szCs w:val="18"/>
          <w:highlight w:val="none"/>
        </w:rPr>
      </w:pPr>
      <w:r>
        <w:rPr>
          <w:rFonts w:ascii="Times New Roman" w:hAnsi="Times New Roman" w:eastAsiaTheme="minorEastAsia"/>
          <w:position w:val="-6"/>
          <w:szCs w:val="21"/>
          <w:highlight w:val="none"/>
        </w:rPr>
        <w:object>
          <v:shape id="_x0000_i1052" o:spt="75" type="#_x0000_t75" style="height:11.1pt;width:11.05pt;" o:ole="t" filled="f" o:preferrelative="t" stroked="f" coordsize="21600,21600">
            <v:path/>
            <v:fill on="f" focussize="0,0"/>
            <v:stroke on="f"/>
            <v:imagedata r:id="rId63" o:title=""/>
            <o:lock v:ext="edit" aspectratio="t"/>
            <w10:wrap type="none"/>
            <w10:anchorlock/>
          </v:shape>
          <o:OLEObject Type="Embed" ProgID="Equation.3" ShapeID="_x0000_i1052" DrawAspect="Content" ObjectID="_1468075752" r:id="rId62">
            <o:LockedField>false</o:LockedField>
          </o:OLEObject>
        </w:object>
      </w:r>
      <w:r>
        <w:rPr>
          <w:rFonts w:ascii="Times New Roman" w:hAnsi="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cs="Times New Roman" w:eastAsiaTheme="minorEastAsia"/>
          <w:szCs w:val="21"/>
          <w:highlight w:val="none"/>
          <w:lang w:val="en-US" w:eastAsia="zh-CN"/>
        </w:rPr>
        <w:t>外芯</w:t>
      </w:r>
      <w:r>
        <w:rPr>
          <w:rFonts w:ascii="Times New Roman" w:hAnsi="Times New Roman" w:eastAsiaTheme="minorEastAsia"/>
          <w:szCs w:val="21"/>
          <w:highlight w:val="none"/>
        </w:rPr>
        <w:t>周长</w:t>
      </w:r>
      <w:r>
        <w:rPr>
          <w:rFonts w:hint="eastAsia" w:ascii="Times New Roman" w:hAnsi="Times New Roman" w:eastAsiaTheme="minorEastAsia"/>
          <w:szCs w:val="21"/>
          <w:highlight w:val="none"/>
          <w:lang w:eastAsia="zh-CN"/>
        </w:rPr>
        <w:t>；</w:t>
      </w:r>
    </w:p>
    <w:p w14:paraId="1C447870">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textAlignment w:val="auto"/>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53" o:spt="75" type="#_x0000_t75" style="height:18pt;width:12pt;" o:ole="t" filled="f" o:preferrelative="t" stroked="f" coordsize="21600,21600">
            <v:path/>
            <v:fill on="f" focussize="0,0"/>
            <v:stroke on="f" joinstyle="miter"/>
            <v:imagedata r:id="rId65" o:title=""/>
            <o:lock v:ext="edit" aspectratio="t"/>
            <w10:wrap type="none"/>
            <w10:anchorlock/>
          </v:shape>
          <o:OLEObject Type="Embed" ProgID="Equation.3" ShapeID="_x0000_i1053" DrawAspect="Content" ObjectID="_1468075753" r:id="rId64">
            <o:LockedField>false</o:LockedField>
          </o:OLEObject>
        </w:object>
      </w:r>
      <w:r>
        <w:rPr>
          <w:rFonts w:ascii="Times New Roman" w:hAnsi="Times New Roman" w:eastAsiaTheme="minorEastAsia"/>
          <w:szCs w:val="21"/>
          <w:highlight w:val="none"/>
        </w:rPr>
        <w:t>、</w:t>
      </w:r>
      <w:r>
        <w:rPr>
          <w:rFonts w:ascii="Times New Roman" w:hAnsi="Times New Roman" w:eastAsiaTheme="minorEastAsia"/>
          <w:position w:val="-14"/>
          <w:szCs w:val="21"/>
          <w:highlight w:val="none"/>
        </w:rPr>
        <w:object>
          <v:shape id="_x0000_i1054" o:spt="75" type="#_x0000_t75" style="height:19.7pt;width:12.85pt;" o:ole="t" filled="f" o:preferrelative="t" stroked="f" coordsize="21600,21600">
            <v:path/>
            <v:fill on="f" focussize="0,0"/>
            <v:stroke on="f" joinstyle="miter"/>
            <v:imagedata r:id="rId67" o:title=""/>
            <o:lock v:ext="edit" aspectratio="t"/>
            <w10:wrap type="none"/>
            <w10:anchorlock/>
          </v:shape>
          <o:OLEObject Type="Embed" ProgID="Equation.3" ShapeID="_x0000_i1054" DrawAspect="Content" ObjectID="_1468075754" r:id="rId66">
            <o:LockedField>false</o:LockedField>
          </o:OLEObject>
        </w:object>
      </w:r>
      <w:r>
        <w:rPr>
          <w:rFonts w:ascii="Times New Roman" w:hAnsi="Times New Roman" w:eastAsiaTheme="minorEastAsia"/>
          <w:szCs w:val="21"/>
          <w:highlight w:val="none"/>
        </w:rPr>
        <w:t>、</w:t>
      </w:r>
      <w:r>
        <w:rPr>
          <w:rFonts w:ascii="Times New Roman" w:hAnsi="Times New Roman" w:eastAsiaTheme="minorEastAsia"/>
          <w:position w:val="-12"/>
          <w:szCs w:val="21"/>
          <w:highlight w:val="none"/>
        </w:rPr>
        <w:object>
          <v:shape id="_x0000_i1055" o:spt="75" type="#_x0000_t75" style="height:18pt;width:12.85pt;" o:ole="t" filled="f" o:preferrelative="t" stroked="f" coordsize="21600,21600">
            <v:path/>
            <v:fill on="f" focussize="0,0"/>
            <v:stroke on="f" joinstyle="miter"/>
            <v:imagedata r:id="rId69" o:title=""/>
            <o:lock v:ext="edit" aspectratio="t"/>
            <w10:wrap type="none"/>
            <w10:anchorlock/>
          </v:shape>
          <o:OLEObject Type="Embed" ProgID="Equation.3" ShapeID="_x0000_i1055" DrawAspect="Content" ObjectID="_1468075755" r:id="rId68">
            <o:LockedField>false</o:LockedField>
          </o:OLEObject>
        </w:object>
      </w:r>
      <w:r>
        <w:rPr>
          <w:rFonts w:ascii="Times New Roman" w:hAnsi="Times New Roman" w:eastAsiaTheme="minorEastAsia"/>
          <w:szCs w:val="21"/>
          <w:highlight w:val="none"/>
        </w:rPr>
        <w:t>、</w:t>
      </w:r>
      <w:r>
        <w:rPr>
          <w:rFonts w:ascii="Times New Roman" w:hAnsi="Times New Roman" w:eastAsiaTheme="minorEastAsia"/>
          <w:position w:val="-14"/>
          <w:szCs w:val="21"/>
          <w:highlight w:val="none"/>
        </w:rPr>
        <w:object>
          <v:shape id="_x0000_i1056" o:spt="75" type="#_x0000_t75" style="height:19.8pt;width:14.1pt;" o:ole="t" filled="f" o:preferrelative="t" stroked="f" coordsize="21600,21600">
            <v:path/>
            <v:fill on="f" focussize="0,0"/>
            <v:stroke on="f"/>
            <v:imagedata r:id="rId71" o:title=""/>
            <o:lock v:ext="edit" aspectratio="t"/>
            <w10:wrap type="none"/>
            <w10:anchorlock/>
          </v:shape>
          <o:OLEObject Type="Embed" ProgID="Equation.3" ShapeID="_x0000_i1056" DrawAspect="Content" ObjectID="_1468075756" r:id="rId70">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第</w:t>
      </w:r>
      <w:r>
        <w:rPr>
          <w:rFonts w:ascii="Times New Roman" w:hAnsi="Times New Roman" w:eastAsiaTheme="minorEastAsia"/>
          <w:position w:val="-6"/>
          <w:szCs w:val="21"/>
          <w:highlight w:val="none"/>
        </w:rPr>
        <w:object>
          <v:shape id="_x0000_i1057" o:spt="75" type="#_x0000_t75" style="height:12.85pt;width:7.7pt;" o:ole="t" filled="f" o:preferrelative="t" stroked="f" coordsize="21600,21600">
            <v:path/>
            <v:fill on="f" focussize="0,0"/>
            <v:stroke on="f" joinstyle="miter"/>
            <v:imagedata r:id="rId73" o:title=""/>
            <o:lock v:ext="edit" aspectratio="t"/>
            <w10:wrap type="none"/>
            <w10:anchorlock/>
          </v:shape>
          <o:OLEObject Type="Embed" ProgID="Equation.3" ShapeID="_x0000_i1057" DrawAspect="Content" ObjectID="_1468075757" r:id="rId72">
            <o:LockedField>false</o:LockedField>
          </o:OLEObject>
        </w:object>
      </w:r>
      <w:r>
        <w:rPr>
          <w:rFonts w:ascii="Times New Roman" w:hAnsi="Times New Roman" w:eastAsiaTheme="minorEastAsia"/>
          <w:szCs w:val="21"/>
          <w:highlight w:val="none"/>
        </w:rPr>
        <w:t>、</w:t>
      </w:r>
      <w:r>
        <w:rPr>
          <w:rFonts w:ascii="Times New Roman" w:hAnsi="Times New Roman" w:eastAsiaTheme="minorEastAsia"/>
          <w:position w:val="-10"/>
          <w:szCs w:val="21"/>
          <w:highlight w:val="none"/>
        </w:rPr>
        <w:object>
          <v:shape id="_x0000_i1058" o:spt="75" type="#_x0000_t75" style="height:15pt;width:9.85pt;" o:ole="t" filled="f" o:preferrelative="t" stroked="f" coordsize="21600,21600">
            <v:path/>
            <v:fill on="f" focussize="0,0"/>
            <v:stroke on="f" joinstyle="miter"/>
            <v:imagedata r:id="rId75" o:title=""/>
            <o:lock v:ext="edit" aspectratio="t"/>
            <w10:wrap type="none"/>
            <w10:anchorlock/>
          </v:shape>
          <o:OLEObject Type="Embed" ProgID="Equation.3" ShapeID="_x0000_i1058" DrawAspect="Content" ObjectID="_1468075758" r:id="rId74">
            <o:LockedField>false</o:LockedField>
          </o:OLEObject>
        </w:object>
      </w:r>
      <w:r>
        <w:rPr>
          <w:rFonts w:hint="eastAsia" w:ascii="Times New Roman" w:hAnsi="Times New Roman" w:eastAsiaTheme="minorEastAsia"/>
          <w:szCs w:val="21"/>
          <w:highlight w:val="none"/>
          <w:lang w:val="en-US" w:eastAsia="zh-CN"/>
        </w:rPr>
        <w:t>基</w:t>
      </w:r>
      <w:r>
        <w:rPr>
          <w:rFonts w:ascii="Times New Roman" w:hAnsi="Times New Roman" w:eastAsiaTheme="minorEastAsia"/>
          <w:szCs w:val="21"/>
          <w:highlight w:val="none"/>
        </w:rPr>
        <w:t>桩至</w:t>
      </w:r>
      <w:r>
        <w:rPr>
          <w:rFonts w:ascii="Times New Roman" w:hAnsi="Times New Roman" w:eastAsiaTheme="minorEastAsia"/>
          <w:position w:val="-10"/>
          <w:szCs w:val="21"/>
          <w:highlight w:val="none"/>
        </w:rPr>
        <w:object>
          <v:shape id="_x0000_i1059" o:spt="75" type="#_x0000_t75" style="height:12.85pt;width:12pt;" o:ole="t" filled="f" o:preferrelative="t" stroked="f" coordsize="21600,21600">
            <v:path/>
            <v:fill on="f" focussize="0,0"/>
            <v:stroke on="f" joinstyle="miter"/>
            <v:imagedata r:id="rId77" o:title=""/>
            <o:lock v:ext="edit" aspectratio="t"/>
            <w10:wrap type="none"/>
            <w10:anchorlock/>
          </v:shape>
          <o:OLEObject Type="Embed" ProgID="Equation.3" ShapeID="_x0000_i1059" DrawAspect="Content" ObjectID="_1468075759" r:id="rId76">
            <o:LockedField>false</o:LockedField>
          </o:OLEObject>
        </w:object>
      </w:r>
      <w:r>
        <w:rPr>
          <w:rFonts w:ascii="Times New Roman" w:hAnsi="Times New Roman" w:eastAsiaTheme="minorEastAsia"/>
          <w:szCs w:val="21"/>
          <w:highlight w:val="none"/>
        </w:rPr>
        <w:t>、</w:t>
      </w:r>
      <w:r>
        <w:rPr>
          <w:rFonts w:ascii="Times New Roman" w:hAnsi="Times New Roman" w:eastAsiaTheme="minorEastAsia"/>
          <w:position w:val="-6"/>
          <w:szCs w:val="21"/>
          <w:highlight w:val="none"/>
        </w:rPr>
        <w:object>
          <v:shape id="_x0000_i1060" o:spt="75" type="#_x0000_t75" style="height:12pt;width:9.85pt;" o:ole="t" filled="f" o:preferrelative="t" stroked="f" coordsize="21600,21600">
            <v:path/>
            <v:fill on="f" focussize="0,0"/>
            <v:stroke on="f" joinstyle="miter"/>
            <v:imagedata r:id="rId79" o:title=""/>
            <o:lock v:ext="edit" aspectratio="t"/>
            <w10:wrap type="none"/>
            <w10:anchorlock/>
          </v:shape>
          <o:OLEObject Type="Embed" ProgID="Equation.3" ShapeID="_x0000_i1060" DrawAspect="Content" ObjectID="_1468075760" r:id="rId78">
            <o:LockedField>false</o:LockedField>
          </o:OLEObject>
        </w:object>
      </w:r>
      <w:r>
        <w:rPr>
          <w:rFonts w:ascii="Times New Roman" w:hAnsi="Times New Roman" w:eastAsiaTheme="minorEastAsia"/>
          <w:szCs w:val="21"/>
          <w:highlight w:val="none"/>
        </w:rPr>
        <w:t>轴的距离；</w:t>
      </w:r>
    </w:p>
    <w:p w14:paraId="1CC87DB4">
      <w:pPr>
        <w:keepNext w:val="0"/>
        <w:keepLines w:val="0"/>
        <w:pageBreakBefore w:val="0"/>
        <w:widowControl w:val="0"/>
        <w:kinsoku/>
        <w:wordWrap/>
        <w:overflowPunct/>
        <w:topLinePunct w:val="0"/>
        <w:autoSpaceDE/>
        <w:autoSpaceDN/>
        <w:bidi w:val="0"/>
        <w:adjustRightInd/>
        <w:snapToGrid/>
        <w:spacing w:line="312" w:lineRule="exact"/>
        <w:textAlignment w:val="auto"/>
        <w:rPr>
          <w:rFonts w:ascii="Times New Roman" w:hAnsi="Times New Roman" w:eastAsiaTheme="minorEastAsia"/>
          <w:szCs w:val="21"/>
          <w:highlight w:val="none"/>
        </w:rPr>
      </w:pPr>
      <w:bookmarkStart w:id="33" w:name="_Toc654"/>
      <w:r>
        <w:rPr>
          <w:rFonts w:ascii="Times New Roman" w:hAnsi="Times New Roman" w:eastAsia="黑体"/>
          <w:b/>
          <w:bCs/>
          <w:kern w:val="0"/>
          <w:szCs w:val="21"/>
          <w:highlight w:val="none"/>
        </w:rPr>
        <w:t>2.</w:t>
      </w:r>
      <w:r>
        <w:rPr>
          <w:rFonts w:hint="default" w:ascii="Times New Roman" w:hAnsi="Times New Roman" w:eastAsia="黑体"/>
          <w:b/>
          <w:bCs/>
          <w:kern w:val="0"/>
          <w:szCs w:val="21"/>
          <w:highlight w:val="none"/>
          <w:lang w:val="en-US" w:eastAsia="zh-CN"/>
        </w:rPr>
        <w:t>2</w:t>
      </w:r>
      <w:r>
        <w:rPr>
          <w:rFonts w:ascii="Times New Roman" w:hAnsi="Times New Roman" w:eastAsia="黑体"/>
          <w:b/>
          <w:bCs/>
          <w:kern w:val="0"/>
          <w:szCs w:val="21"/>
          <w:highlight w:val="none"/>
        </w:rPr>
        <w:t>.</w:t>
      </w:r>
      <w:r>
        <w:rPr>
          <w:rFonts w:hint="default" w:ascii="Times New Roman" w:hAnsi="Times New Roman" w:eastAsia="黑体"/>
          <w:b/>
          <w:bCs/>
          <w:kern w:val="0"/>
          <w:szCs w:val="21"/>
          <w:highlight w:val="none"/>
          <w:lang w:val="en-US" w:eastAsia="zh-CN"/>
        </w:rPr>
        <w:t>4</w:t>
      </w:r>
      <w:r>
        <w:rPr>
          <w:rFonts w:hint="default" w:ascii="Times New Roman" w:hAnsi="Times New Roman" w:eastAsiaTheme="minorEastAsia"/>
          <w:bCs/>
          <w:kern w:val="0"/>
          <w:szCs w:val="21"/>
          <w:highlight w:val="none"/>
        </w:rPr>
        <w:t xml:space="preserve"> </w:t>
      </w:r>
      <w:r>
        <w:rPr>
          <w:rFonts w:ascii="Times New Roman" w:hAnsi="Times New Roman" w:eastAsiaTheme="minorEastAsia"/>
          <w:szCs w:val="21"/>
          <w:highlight w:val="none"/>
        </w:rPr>
        <w:t>计算系数</w:t>
      </w:r>
      <w:bookmarkEnd w:id="33"/>
    </w:p>
    <w:p w14:paraId="21255BAC">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577" w:firstLineChars="275"/>
        <w:textAlignment w:val="auto"/>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61" o:spt="75" type="#_x0000_t75" style="height:18pt;width:15pt;" o:ole="t" filled="f" o:preferrelative="t" stroked="f" coordsize="21600,21600">
            <v:path/>
            <v:fill on="f" focussize="0,0"/>
            <v:stroke on="f" joinstyle="miter"/>
            <v:imagedata r:id="rId81" o:title=""/>
            <o:lock v:ext="edit" aspectratio="t"/>
            <w10:wrap type="none"/>
            <w10:anchorlock/>
          </v:shape>
          <o:OLEObject Type="Embed" ProgID="Equation.3" ShapeID="_x0000_i1061" DrawAspect="Content" ObjectID="_1468075761" r:id="rId80">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color w:val="auto"/>
          <w:highlight w:val="none"/>
          <w:lang w:val="en-US" w:eastAsia="zh-CN"/>
        </w:rPr>
        <w:t>成桩工艺系数</w:t>
      </w:r>
      <w:r>
        <w:rPr>
          <w:rFonts w:ascii="Times New Roman" w:hAnsi="Times New Roman" w:eastAsiaTheme="minorEastAsia"/>
          <w:szCs w:val="21"/>
          <w:highlight w:val="none"/>
        </w:rPr>
        <w:t>；</w:t>
      </w:r>
    </w:p>
    <w:p w14:paraId="2C4CD312">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577" w:firstLineChars="275"/>
        <w:textAlignment w:val="auto"/>
        <w:rPr>
          <w:rFonts w:ascii="Times New Roman" w:hAnsi="Times New Roman" w:eastAsiaTheme="minorEastAsia"/>
          <w:szCs w:val="21"/>
          <w:highlight w:val="none"/>
        </w:rPr>
      </w:pPr>
      <w:r>
        <w:rPr>
          <w:rFonts w:ascii="Times New Roman" w:hAnsi="Times New Roman" w:eastAsiaTheme="minorEastAsia"/>
          <w:position w:val="-6"/>
          <w:szCs w:val="21"/>
          <w:highlight w:val="none"/>
        </w:rPr>
        <w:object>
          <v:shape id="_x0000_i1062" o:spt="75" type="#_x0000_t75" style="height:12pt;width:9.85pt;" o:ole="t" filled="f" o:preferrelative="t" stroked="f" coordsize="21600,21600">
            <v:path/>
            <v:fill on="f" focussize="0,0"/>
            <v:stroke on="f" joinstyle="miter"/>
            <v:imagedata r:id="rId83" o:title=""/>
            <o:lock v:ext="edit" aspectratio="t"/>
            <w10:wrap type="none"/>
            <w10:anchorlock/>
          </v:shape>
          <o:OLEObject Type="Embed" ProgID="Equation.3" ShapeID="_x0000_i1062" DrawAspect="Content" ObjectID="_1468075762" r:id="rId82">
            <o:LockedField>false</o:LockedField>
          </o:OLEObject>
        </w:object>
      </w:r>
      <w:r>
        <w:rPr>
          <w:rFonts w:ascii="Times New Roman" w:hAnsi="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群桩基础</w:t>
      </w:r>
      <w:r>
        <w:rPr>
          <w:rFonts w:ascii="Times New Roman" w:hAnsi="Times New Roman" w:eastAsiaTheme="minorEastAsia"/>
          <w:szCs w:val="21"/>
          <w:highlight w:val="none"/>
        </w:rPr>
        <w:t>中的桩数；</w:t>
      </w:r>
    </w:p>
    <w:p w14:paraId="69B6BA85">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577" w:firstLineChars="275"/>
        <w:textAlignment w:val="auto"/>
        <w:rPr>
          <w:rFonts w:ascii="Times New Roman" w:hAnsi="Times New Roman"/>
          <w:szCs w:val="21"/>
          <w:highlight w:val="none"/>
        </w:rPr>
      </w:pPr>
      <w:r>
        <w:rPr>
          <w:rFonts w:ascii="Times New Roman" w:hAnsi="Times New Roman" w:eastAsiaTheme="minorEastAsia"/>
          <w:position w:val="-12"/>
          <w:szCs w:val="21"/>
          <w:highlight w:val="none"/>
        </w:rPr>
        <w:object>
          <v:shape id="_x0000_i1063" o:spt="75" type="#_x0000_t75" style="height:18pt;width:12pt;" o:ole="t" filled="f" o:preferrelative="t" stroked="f" coordsize="21600,21600">
            <v:path/>
            <v:fill on="f" focussize="0,0"/>
            <v:stroke on="f" joinstyle="miter"/>
            <v:imagedata r:id="rId85" o:title=""/>
            <o:lock v:ext="edit" aspectratio="t"/>
            <w10:wrap type="none"/>
            <w10:anchorlock/>
          </v:shape>
          <o:OLEObject Type="Embed" ProgID="Equation.3" ShapeID="_x0000_i1063" DrawAspect="Content" ObjectID="_1468075763" r:id="rId84">
            <o:LockedField>false</o:LockedField>
          </o:OLEObject>
        </w:object>
      </w:r>
      <w:r>
        <w:rPr>
          <w:rFonts w:ascii="Times New Roman" w:hAnsi="Times New Roman" w:eastAsiaTheme="minorEastAsia"/>
          <w:w w:val="70"/>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highlight w:val="none"/>
        </w:rPr>
        <w:t>外芯从岩土中拔出的抗拔系数</w:t>
      </w:r>
      <w:r>
        <w:rPr>
          <w:rFonts w:hint="default" w:ascii="Times New Roman" w:hAnsi="Times New Roman" w:eastAsiaTheme="minorEastAsia"/>
          <w:szCs w:val="21"/>
          <w:highlight w:val="none"/>
        </w:rPr>
        <w:t>；</w:t>
      </w:r>
    </w:p>
    <w:p w14:paraId="59B67B25">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ind w:firstLine="577" w:firstLineChars="275"/>
        <w:textAlignment w:val="auto"/>
        <w:rPr>
          <w:rFonts w:ascii="Times New Roman" w:hAnsi="Times New Roman" w:eastAsiaTheme="minorEastAsia"/>
          <w:szCs w:val="21"/>
          <w:highlight w:val="none"/>
        </w:rPr>
      </w:pPr>
      <w:r>
        <w:rPr>
          <w:rFonts w:ascii="Times New Roman" w:hAnsi="Times New Roman" w:eastAsiaTheme="minorEastAsia"/>
          <w:position w:val="-10"/>
          <w:szCs w:val="21"/>
          <w:highlight w:val="none"/>
        </w:rPr>
        <w:object>
          <v:shape id="_x0000_i1064" o:spt="75" type="#_x0000_t75" style="height:17pt;width:13pt;" o:ole="t" filled="f" o:preferrelative="t" stroked="f" coordsize="21600,21600">
            <v:path/>
            <v:fill on="f" focussize="0,0"/>
            <v:stroke on="f"/>
            <v:imagedata r:id="rId87" o:title=""/>
            <o:lock v:ext="edit" aspectratio="t"/>
            <w10:wrap type="none"/>
            <w10:anchorlock/>
          </v:shape>
          <o:OLEObject Type="Embed" ProgID="Equation.3" ShapeID="_x0000_i1064" DrawAspect="Content" ObjectID="_1468075764" r:id="rId86">
            <o:LockedField>false</o:LockedField>
          </o:OLEObject>
        </w:object>
      </w:r>
      <w:r>
        <w:rPr>
          <w:rFonts w:ascii="Times New Roman" w:hAnsi="Times New Roman" w:eastAsiaTheme="minorEastAsia"/>
          <w:w w:val="70"/>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嵌岩端侧阻和端阻综合系数</w:t>
      </w:r>
      <w:r>
        <w:rPr>
          <w:rFonts w:hint="default" w:ascii="Times New Roman" w:hAnsi="Times New Roman" w:eastAsiaTheme="minorEastAsia"/>
          <w:szCs w:val="21"/>
          <w:highlight w:val="none"/>
        </w:rPr>
        <w:t>；</w:t>
      </w:r>
      <w:r>
        <w:rPr>
          <w:rFonts w:ascii="Times New Roman" w:hAnsi="Times New Roman" w:eastAsia="方正黑体简体"/>
          <w:szCs w:val="21"/>
          <w:highlight w:val="none"/>
        </w:rPr>
        <w:br w:type="page"/>
      </w:r>
      <w:bookmarkStart w:id="34" w:name="_Toc478810136"/>
      <w:bookmarkStart w:id="35" w:name="_Toc478803278"/>
    </w:p>
    <w:p w14:paraId="0302717B">
      <w:pPr>
        <w:pStyle w:val="2"/>
        <w:spacing w:before="156" w:after="156" w:line="220" w:lineRule="atLeast"/>
        <w:rPr>
          <w:rFonts w:ascii="Times New Roman" w:hAnsi="Times New Roman"/>
          <w:highlight w:val="none"/>
        </w:rPr>
      </w:pPr>
      <w:bookmarkStart w:id="36" w:name="_Toc10090"/>
      <w:bookmarkStart w:id="37" w:name="_Toc4792"/>
      <w:bookmarkStart w:id="38" w:name="_3 基本规定"/>
      <w:r>
        <w:rPr>
          <w:rFonts w:hint="default" w:ascii="Times New Roman" w:hAnsi="Times New Roman"/>
          <w:b/>
          <w:bCs w:val="0"/>
          <w:highlight w:val="none"/>
        </w:rPr>
        <w:t>3</w:t>
      </w:r>
      <w:r>
        <w:rPr>
          <w:rFonts w:hint="default" w:ascii="Times New Roman" w:hAnsi="Times New Roman"/>
          <w:highlight w:val="none"/>
        </w:rPr>
        <w:t xml:space="preserve"> 基本规定</w:t>
      </w:r>
      <w:bookmarkEnd w:id="36"/>
      <w:bookmarkEnd w:id="37"/>
    </w:p>
    <w:bookmarkEnd w:id="38"/>
    <w:p w14:paraId="0FC43DD1">
      <w:pPr>
        <w:keepNext w:val="0"/>
        <w:keepLines w:val="0"/>
        <w:pageBreakBefore w:val="0"/>
        <w:widowControl w:val="0"/>
        <w:kinsoku/>
        <w:wordWrap/>
        <w:overflowPunct/>
        <w:topLinePunct w:val="0"/>
        <w:autoSpaceDE/>
        <w:autoSpaceDN/>
        <w:bidi w:val="0"/>
        <w:adjustRightInd/>
        <w:snapToGrid/>
        <w:spacing w:line="312" w:lineRule="exact"/>
        <w:jc w:val="left"/>
        <w:textAlignment w:val="auto"/>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rPr>
        <w:t>3.0.</w:t>
      </w:r>
      <w:r>
        <w:rPr>
          <w:rFonts w:hint="eastAsia" w:ascii="Times New Roman" w:hAnsi="Times New Roman" w:eastAsia="黑体"/>
          <w:b/>
          <w:bCs/>
          <w:kern w:val="0"/>
          <w:szCs w:val="21"/>
          <w:highlight w:val="none"/>
          <w:lang w:val="en-US" w:eastAsia="zh-CN"/>
        </w:rPr>
        <w:t>1</w:t>
      </w:r>
      <w:r>
        <w:rPr>
          <w:rFonts w:hint="default" w:ascii="Times New Roman" w:hAnsi="Times New Roman" w:eastAsiaTheme="minorEastAsia"/>
          <w:szCs w:val="21"/>
          <w:highlight w:val="none"/>
        </w:rPr>
        <w:t xml:space="preserve"> 预制</w:t>
      </w:r>
      <w:r>
        <w:rPr>
          <w:rFonts w:hint="eastAsia" w:ascii="Times New Roman" w:hAnsi="Times New Roman" w:eastAsiaTheme="minorEastAsia"/>
          <w:szCs w:val="21"/>
          <w:highlight w:val="none"/>
          <w:lang w:val="en-US" w:eastAsia="zh-CN"/>
        </w:rPr>
        <w:t>桩植</w:t>
      </w:r>
      <w:r>
        <w:rPr>
          <w:rFonts w:hint="default" w:ascii="Times New Roman" w:hAnsi="Times New Roman" w:eastAsiaTheme="minorEastAsia"/>
          <w:szCs w:val="21"/>
          <w:highlight w:val="none"/>
        </w:rPr>
        <w:t>桩设计施工前</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应</w:t>
      </w:r>
      <w:r>
        <w:rPr>
          <w:rFonts w:hint="eastAsia" w:ascii="Times New Roman" w:hAnsi="Times New Roman" w:eastAsiaTheme="minorEastAsia"/>
          <w:szCs w:val="21"/>
          <w:highlight w:val="none"/>
          <w:lang w:val="en-US" w:eastAsia="zh-CN"/>
        </w:rPr>
        <w:t>按国家现行有关标准进行岩土工程勘察。</w:t>
      </w:r>
    </w:p>
    <w:p w14:paraId="53C43E6A">
      <w:pPr>
        <w:keepNext w:val="0"/>
        <w:keepLines w:val="0"/>
        <w:pageBreakBefore w:val="0"/>
        <w:widowControl w:val="0"/>
        <w:kinsoku/>
        <w:wordWrap/>
        <w:overflowPunct/>
        <w:topLinePunct w:val="0"/>
        <w:autoSpaceDE/>
        <w:autoSpaceDN/>
        <w:bidi w:val="0"/>
        <w:adjustRightInd/>
        <w:snapToGrid/>
        <w:spacing w:line="312" w:lineRule="exact"/>
        <w:jc w:val="left"/>
        <w:textAlignment w:val="auto"/>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3.0.</w:t>
      </w:r>
      <w:r>
        <w:rPr>
          <w:rFonts w:hint="eastAsia"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eastAsia="zh-CN"/>
        </w:rPr>
        <w:t>预制桩植桩</w:t>
      </w:r>
      <w:r>
        <w:rPr>
          <w:rFonts w:hint="default" w:ascii="Times New Roman" w:hAnsi="Times New Roman" w:eastAsiaTheme="minorEastAsia"/>
          <w:szCs w:val="21"/>
          <w:highlight w:val="none"/>
        </w:rPr>
        <w:t>设计应满足承载力、变形和稳定性要求</w:t>
      </w:r>
      <w:r>
        <w:rPr>
          <w:rFonts w:hint="eastAsia" w:ascii="Times New Roman" w:hAnsi="Times New Roman" w:eastAsiaTheme="minorEastAsia"/>
          <w:szCs w:val="21"/>
          <w:highlight w:val="none"/>
          <w:lang w:eastAsia="zh-CN"/>
        </w:rPr>
        <w:t>。</w:t>
      </w:r>
    </w:p>
    <w:p w14:paraId="1597F073">
      <w:pPr>
        <w:keepNext w:val="0"/>
        <w:keepLines w:val="0"/>
        <w:pageBreakBefore w:val="0"/>
        <w:widowControl w:val="0"/>
        <w:kinsoku/>
        <w:wordWrap/>
        <w:overflowPunct/>
        <w:topLinePunct w:val="0"/>
        <w:autoSpaceDE/>
        <w:autoSpaceDN/>
        <w:bidi w:val="0"/>
        <w:adjustRightInd/>
        <w:snapToGrid/>
        <w:spacing w:line="312" w:lineRule="exact"/>
        <w:ind w:firstLine="0" w:firstLineChars="0"/>
        <w:jc w:val="left"/>
        <w:textAlignment w:val="auto"/>
        <w:rPr>
          <w:rFonts w:hint="eastAsia" w:ascii="Times New Roman" w:hAnsi="Times New Roman" w:eastAsiaTheme="minorEastAsia"/>
          <w:bCs w:val="0"/>
          <w:szCs w:val="21"/>
          <w:highlight w:val="none"/>
        </w:rPr>
      </w:pPr>
      <w:r>
        <w:rPr>
          <w:rFonts w:hint="default" w:ascii="Times New Roman" w:hAnsi="Times New Roman" w:eastAsia="黑体"/>
          <w:b/>
          <w:bCs/>
          <w:kern w:val="0"/>
          <w:szCs w:val="21"/>
          <w:highlight w:val="none"/>
        </w:rPr>
        <w:t>3.</w:t>
      </w:r>
      <w:r>
        <w:rPr>
          <w:rFonts w:hint="eastAsia" w:ascii="Times New Roman" w:hAnsi="Times New Roman" w:eastAsia="黑体"/>
          <w:b/>
          <w:bCs/>
          <w:kern w:val="0"/>
          <w:szCs w:val="21"/>
          <w:highlight w:val="none"/>
        </w:rPr>
        <w:t>0.</w:t>
      </w:r>
      <w:r>
        <w:rPr>
          <w:rFonts w:hint="eastAsia" w:ascii="Times New Roman" w:hAnsi="Times New Roman" w:eastAsia="黑体"/>
          <w:b/>
          <w:bCs/>
          <w:kern w:val="0"/>
          <w:szCs w:val="21"/>
          <w:highlight w:val="none"/>
          <w:lang w:val="en-US" w:eastAsia="zh-CN"/>
        </w:rPr>
        <w:t>3</w:t>
      </w:r>
      <w:r>
        <w:rPr>
          <w:rFonts w:hint="eastAsia" w:ascii="Times New Roman" w:hAnsi="Times New Roman" w:eastAsiaTheme="minorEastAsia"/>
          <w:b w:val="0"/>
          <w:bCs w:val="0"/>
          <w:szCs w:val="21"/>
          <w:highlight w:val="none"/>
        </w:rPr>
        <w:t xml:space="preserve"> </w:t>
      </w:r>
      <w:r>
        <w:rPr>
          <w:rFonts w:hint="eastAsia" w:ascii="Times New Roman" w:hAnsi="Times New Roman" w:eastAsiaTheme="minorEastAsia"/>
          <w:szCs w:val="21"/>
          <w:highlight w:val="none"/>
          <w:lang w:eastAsia="zh-CN"/>
        </w:rPr>
        <w:t>预制桩植桩</w:t>
      </w:r>
      <w:r>
        <w:rPr>
          <w:rFonts w:hint="eastAsia" w:ascii="Times New Roman" w:hAnsi="Times New Roman" w:eastAsiaTheme="minorEastAsia"/>
          <w:szCs w:val="21"/>
          <w:highlight w:val="none"/>
        </w:rPr>
        <w:t>工程抗震设计应符合《建筑与市政工程抗震通用规范》GB 55002、《建筑抗震设计</w:t>
      </w:r>
      <w:r>
        <w:rPr>
          <w:rFonts w:hint="eastAsia" w:ascii="Times New Roman" w:hAnsi="Times New Roman" w:eastAsiaTheme="minorEastAsia"/>
          <w:szCs w:val="21"/>
          <w:highlight w:val="none"/>
          <w:lang w:val="en-US" w:eastAsia="zh-CN"/>
        </w:rPr>
        <w:t>标准</w:t>
      </w:r>
      <w:r>
        <w:rPr>
          <w:rFonts w:hint="eastAsia" w:ascii="Times New Roman" w:hAnsi="Times New Roman" w:eastAsiaTheme="minorEastAsia"/>
          <w:szCs w:val="21"/>
          <w:highlight w:val="none"/>
        </w:rPr>
        <w:t>》GB/T50011</w:t>
      </w:r>
      <w:r>
        <w:rPr>
          <w:rFonts w:hint="eastAsia" w:ascii="Times New Roman" w:hAnsi="Times New Roman" w:eastAsiaTheme="minorEastAsia"/>
          <w:szCs w:val="21"/>
          <w:highlight w:val="none"/>
          <w:lang w:eastAsia="zh-CN"/>
        </w:rPr>
        <w:t>、</w:t>
      </w:r>
      <w:r>
        <w:rPr>
          <w:rFonts w:hint="eastAsia" w:ascii="Times New Roman" w:hAnsi="Times New Roman" w:eastAsiaTheme="minorEastAsia"/>
          <w:szCs w:val="21"/>
          <w:highlight w:val="none"/>
          <w:lang w:val="en-US" w:eastAsia="zh-CN"/>
        </w:rPr>
        <w:t>《石油化工构筑物抗震设计规范》SH 3147</w:t>
      </w:r>
      <w:r>
        <w:rPr>
          <w:rFonts w:hint="eastAsia" w:ascii="Times New Roman" w:hAnsi="Times New Roman" w:eastAsiaTheme="minorEastAsia"/>
          <w:bCs w:val="0"/>
          <w:szCs w:val="21"/>
          <w:highlight w:val="none"/>
          <w:lang w:val="en-US" w:eastAsia="zh-CN"/>
        </w:rPr>
        <w:t>等</w:t>
      </w:r>
      <w:r>
        <w:rPr>
          <w:rFonts w:hint="eastAsia" w:ascii="Times New Roman" w:hAnsi="Times New Roman" w:eastAsiaTheme="minorEastAsia"/>
          <w:szCs w:val="21"/>
          <w:highlight w:val="none"/>
        </w:rPr>
        <w:t>国家</w:t>
      </w:r>
      <w:r>
        <w:rPr>
          <w:rFonts w:hint="eastAsia" w:ascii="Times New Roman" w:hAnsi="Times New Roman" w:eastAsiaTheme="minorEastAsia"/>
          <w:szCs w:val="21"/>
          <w:highlight w:val="none"/>
          <w:lang w:val="en-US" w:eastAsia="zh-CN"/>
        </w:rPr>
        <w:t>和行业</w:t>
      </w:r>
      <w:r>
        <w:rPr>
          <w:rFonts w:hint="eastAsia" w:ascii="Times New Roman" w:hAnsi="Times New Roman" w:eastAsiaTheme="minorEastAsia"/>
          <w:szCs w:val="21"/>
          <w:highlight w:val="none"/>
        </w:rPr>
        <w:t>现行标准</w:t>
      </w:r>
      <w:r>
        <w:rPr>
          <w:rFonts w:hint="eastAsia" w:ascii="Times New Roman" w:hAnsi="Times New Roman" w:eastAsiaTheme="minorEastAsia"/>
          <w:bCs w:val="0"/>
          <w:szCs w:val="21"/>
          <w:highlight w:val="none"/>
        </w:rPr>
        <w:t>的</w:t>
      </w:r>
      <w:r>
        <w:rPr>
          <w:rFonts w:hint="eastAsia" w:ascii="Times New Roman" w:hAnsi="Times New Roman" w:eastAsiaTheme="minorEastAsia"/>
          <w:bCs w:val="0"/>
          <w:szCs w:val="21"/>
          <w:highlight w:val="none"/>
          <w:lang w:val="en-US" w:eastAsia="zh-CN"/>
        </w:rPr>
        <w:t>有关</w:t>
      </w:r>
      <w:r>
        <w:rPr>
          <w:rFonts w:hint="eastAsia" w:ascii="Times New Roman" w:hAnsi="Times New Roman" w:eastAsiaTheme="minorEastAsia"/>
          <w:bCs w:val="0"/>
          <w:szCs w:val="21"/>
          <w:highlight w:val="none"/>
        </w:rPr>
        <w:t>规定。</w:t>
      </w:r>
    </w:p>
    <w:p w14:paraId="2C6B28DA">
      <w:pPr>
        <w:keepNext w:val="0"/>
        <w:keepLines w:val="0"/>
        <w:pageBreakBefore w:val="0"/>
        <w:widowControl w:val="0"/>
        <w:kinsoku/>
        <w:wordWrap/>
        <w:overflowPunct/>
        <w:topLinePunct w:val="0"/>
        <w:autoSpaceDE/>
        <w:autoSpaceDN/>
        <w:bidi w:val="0"/>
        <w:adjustRightInd/>
        <w:snapToGrid/>
        <w:spacing w:line="312" w:lineRule="exact"/>
        <w:ind w:firstLine="0" w:firstLineChars="0"/>
        <w:jc w:val="left"/>
        <w:textAlignment w:val="auto"/>
        <w:rPr>
          <w:rFonts w:hint="eastAsia" w:ascii="Times New Roman" w:hAnsi="Times New Roman" w:eastAsiaTheme="minorEastAsia"/>
          <w:bCs w:val="0"/>
          <w:szCs w:val="21"/>
          <w:highlight w:val="none"/>
        </w:rPr>
      </w:pPr>
      <w:r>
        <w:rPr>
          <w:rFonts w:hint="default" w:ascii="Times New Roman" w:hAnsi="Times New Roman" w:eastAsia="黑体"/>
          <w:b/>
          <w:bCs/>
          <w:kern w:val="0"/>
          <w:szCs w:val="21"/>
          <w:highlight w:val="none"/>
        </w:rPr>
        <w:t>3.</w:t>
      </w:r>
      <w:r>
        <w:rPr>
          <w:rFonts w:hint="eastAsia" w:ascii="Times New Roman" w:hAnsi="Times New Roman" w:eastAsia="黑体"/>
          <w:b/>
          <w:bCs/>
          <w:kern w:val="0"/>
          <w:szCs w:val="21"/>
          <w:highlight w:val="none"/>
        </w:rPr>
        <w:t>0.</w:t>
      </w:r>
      <w:r>
        <w:rPr>
          <w:rFonts w:hint="eastAsia" w:ascii="Times New Roman" w:hAnsi="Times New Roman" w:eastAsia="黑体"/>
          <w:b/>
          <w:bCs/>
          <w:kern w:val="0"/>
          <w:szCs w:val="21"/>
          <w:highlight w:val="none"/>
          <w:lang w:val="en-US" w:eastAsia="zh-CN"/>
        </w:rPr>
        <w:t>4</w:t>
      </w:r>
      <w:r>
        <w:rPr>
          <w:rFonts w:hint="eastAsia" w:ascii="Times New Roman" w:hAnsi="Times New Roman" w:eastAsiaTheme="minorEastAsia"/>
          <w:b w:val="0"/>
          <w:bCs w:val="0"/>
          <w:szCs w:val="21"/>
          <w:highlight w:val="none"/>
        </w:rPr>
        <w:t xml:space="preserve"> </w:t>
      </w:r>
      <w:r>
        <w:rPr>
          <w:rFonts w:hint="eastAsia" w:ascii="Times New Roman" w:hAnsi="Times New Roman" w:eastAsiaTheme="minorEastAsia"/>
          <w:szCs w:val="21"/>
          <w:highlight w:val="none"/>
          <w:lang w:eastAsia="zh-CN"/>
        </w:rPr>
        <w:t>预制桩植桩</w:t>
      </w:r>
      <w:r>
        <w:rPr>
          <w:rFonts w:hint="eastAsia" w:ascii="Times New Roman" w:hAnsi="Times New Roman" w:eastAsiaTheme="minorEastAsia"/>
          <w:szCs w:val="21"/>
          <w:highlight w:val="none"/>
        </w:rPr>
        <w:t>工程</w:t>
      </w:r>
      <w:r>
        <w:rPr>
          <w:rFonts w:hint="eastAsia" w:ascii="Times New Roman" w:hAnsi="Times New Roman" w:eastAsiaTheme="minorEastAsia"/>
          <w:szCs w:val="21"/>
          <w:highlight w:val="none"/>
          <w:lang w:val="en-US" w:eastAsia="zh-CN"/>
        </w:rPr>
        <w:t>施工</w:t>
      </w:r>
      <w:r>
        <w:rPr>
          <w:rFonts w:hint="default" w:ascii="Times New Roman" w:hAnsi="Times New Roman" w:eastAsiaTheme="minorEastAsia"/>
          <w:szCs w:val="21"/>
          <w:highlight w:val="none"/>
        </w:rPr>
        <w:t>前应进行试</w:t>
      </w:r>
      <w:r>
        <w:rPr>
          <w:rFonts w:hint="eastAsia" w:ascii="Times New Roman" w:hAnsi="Times New Roman" w:eastAsiaTheme="minorEastAsia"/>
          <w:szCs w:val="21"/>
          <w:highlight w:val="none"/>
          <w:lang w:val="en-US" w:eastAsia="zh-CN"/>
        </w:rPr>
        <w:t>桩</w:t>
      </w:r>
      <w:r>
        <w:rPr>
          <w:rFonts w:hint="default" w:ascii="Times New Roman" w:hAnsi="Times New Roman" w:eastAsiaTheme="minorEastAsia"/>
          <w:szCs w:val="21"/>
          <w:highlight w:val="none"/>
        </w:rPr>
        <w:t>，检验设计</w:t>
      </w:r>
      <w:r>
        <w:rPr>
          <w:rFonts w:hint="eastAsia" w:ascii="Times New Roman" w:hAnsi="Times New Roman" w:eastAsiaTheme="minorEastAsia"/>
          <w:szCs w:val="21"/>
          <w:highlight w:val="none"/>
          <w:lang w:val="en-US" w:eastAsia="zh-CN"/>
        </w:rPr>
        <w:t>和</w:t>
      </w:r>
      <w:r>
        <w:rPr>
          <w:rFonts w:hint="default" w:ascii="Times New Roman" w:hAnsi="Times New Roman" w:eastAsiaTheme="minorEastAsia"/>
          <w:szCs w:val="21"/>
          <w:highlight w:val="none"/>
        </w:rPr>
        <w:t>施工参数、及适用性</w:t>
      </w:r>
      <w:r>
        <w:rPr>
          <w:rFonts w:hint="eastAsia" w:ascii="Times New Roman" w:hAnsi="Times New Roman" w:eastAsiaTheme="minorEastAsia"/>
          <w:szCs w:val="21"/>
          <w:highlight w:val="none"/>
          <w:lang w:val="en-US" w:eastAsia="zh-CN"/>
        </w:rPr>
        <w:t>等。</w:t>
      </w:r>
    </w:p>
    <w:p w14:paraId="177AF0DF">
      <w:pPr>
        <w:spacing w:before="0" w:after="0" w:line="312" w:lineRule="exact"/>
        <w:jc w:val="lef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3.0.</w:t>
      </w:r>
      <w:r>
        <w:rPr>
          <w:rFonts w:hint="eastAsia" w:ascii="Times New Roman" w:hAnsi="Times New Roman" w:eastAsia="黑体"/>
          <w:b/>
          <w:bCs/>
          <w:kern w:val="0"/>
          <w:szCs w:val="21"/>
          <w:highlight w:val="none"/>
          <w:lang w:val="en-US" w:eastAsia="zh-CN"/>
        </w:rPr>
        <w:t>5</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eastAsia="zh-CN"/>
        </w:rPr>
        <w:t>预制桩植桩</w:t>
      </w:r>
      <w:r>
        <w:rPr>
          <w:rFonts w:hint="default" w:ascii="Times New Roman" w:hAnsi="Times New Roman" w:eastAsiaTheme="minorEastAsia"/>
          <w:szCs w:val="21"/>
          <w:highlight w:val="none"/>
        </w:rPr>
        <w:t>的耐久性应符合</w:t>
      </w:r>
      <w:r>
        <w:rPr>
          <w:rFonts w:hint="eastAsia" w:ascii="Times New Roman" w:hAnsi="Times New Roman" w:eastAsiaTheme="minorEastAsia"/>
          <w:szCs w:val="21"/>
          <w:highlight w:val="none"/>
        </w:rPr>
        <w:t>《 混凝土结构耐久性设计标准》GB/T 50476、</w:t>
      </w:r>
      <w:r>
        <w:rPr>
          <w:rFonts w:hint="eastAsia" w:ascii="Times New Roman" w:hAnsi="Times New Roman" w:eastAsiaTheme="minorEastAsia"/>
          <w:szCs w:val="21"/>
          <w:highlight w:val="none"/>
          <w:lang w:val="en-US" w:eastAsia="zh-CN"/>
        </w:rPr>
        <w:t>《</w:t>
      </w:r>
      <w:r>
        <w:rPr>
          <w:rFonts w:hint="eastAsia" w:ascii="Times New Roman" w:hAnsi="Times New Roman" w:eastAsiaTheme="minorEastAsia"/>
          <w:szCs w:val="21"/>
          <w:highlight w:val="none"/>
        </w:rPr>
        <w:t>石油化工建(构)筑物防腐蚀设计规范</w:t>
      </w:r>
      <w:r>
        <w:rPr>
          <w:rFonts w:hint="eastAsia" w:ascii="Times New Roman" w:hAnsi="Times New Roman" w:eastAsiaTheme="minorEastAsia"/>
          <w:szCs w:val="21"/>
          <w:highlight w:val="none"/>
          <w:lang w:val="en-US" w:eastAsia="zh-CN"/>
        </w:rPr>
        <w:t>》</w:t>
      </w:r>
      <w:r>
        <w:rPr>
          <w:rFonts w:hint="eastAsia" w:ascii="Times New Roman" w:hAnsi="Times New Roman" w:eastAsiaTheme="minorEastAsia"/>
          <w:szCs w:val="21"/>
          <w:highlight w:val="none"/>
          <w:lang w:eastAsia="zh-CN"/>
        </w:rPr>
        <w:t>SH/T 3233</w:t>
      </w:r>
      <w:r>
        <w:rPr>
          <w:rFonts w:hint="eastAsia" w:ascii="Times New Roman" w:hAnsi="Times New Roman" w:eastAsiaTheme="minorEastAsia"/>
          <w:bCs w:val="0"/>
          <w:szCs w:val="21"/>
          <w:highlight w:val="none"/>
          <w:lang w:val="en-US" w:eastAsia="zh-CN"/>
        </w:rPr>
        <w:t>等</w:t>
      </w:r>
      <w:r>
        <w:rPr>
          <w:rFonts w:hint="eastAsia" w:ascii="Times New Roman" w:hAnsi="Times New Roman" w:eastAsiaTheme="minorEastAsia"/>
          <w:szCs w:val="21"/>
          <w:highlight w:val="none"/>
        </w:rPr>
        <w:t>国家</w:t>
      </w:r>
      <w:r>
        <w:rPr>
          <w:rFonts w:hint="eastAsia" w:ascii="Times New Roman" w:hAnsi="Times New Roman" w:eastAsiaTheme="minorEastAsia"/>
          <w:szCs w:val="21"/>
          <w:highlight w:val="none"/>
          <w:lang w:val="en-US" w:eastAsia="zh-CN"/>
        </w:rPr>
        <w:t>和行业</w:t>
      </w:r>
      <w:r>
        <w:rPr>
          <w:rFonts w:hint="eastAsia" w:ascii="Times New Roman" w:hAnsi="Times New Roman" w:eastAsiaTheme="minorEastAsia"/>
          <w:szCs w:val="21"/>
          <w:highlight w:val="none"/>
        </w:rPr>
        <w:t>现行标准</w:t>
      </w:r>
      <w:r>
        <w:rPr>
          <w:rFonts w:hint="eastAsia" w:ascii="Times New Roman" w:hAnsi="Times New Roman" w:eastAsiaTheme="minorEastAsia"/>
          <w:bCs w:val="0"/>
          <w:szCs w:val="21"/>
          <w:highlight w:val="none"/>
        </w:rPr>
        <w:t>的</w:t>
      </w:r>
      <w:r>
        <w:rPr>
          <w:rFonts w:hint="eastAsia" w:ascii="Times New Roman" w:hAnsi="Times New Roman" w:eastAsiaTheme="minorEastAsia"/>
          <w:bCs w:val="0"/>
          <w:szCs w:val="21"/>
          <w:highlight w:val="none"/>
          <w:lang w:val="en-US" w:eastAsia="zh-CN"/>
        </w:rPr>
        <w:t>有关</w:t>
      </w:r>
      <w:r>
        <w:rPr>
          <w:rFonts w:hint="eastAsia" w:ascii="Times New Roman" w:hAnsi="Times New Roman" w:eastAsiaTheme="minorEastAsia"/>
          <w:bCs w:val="0"/>
          <w:szCs w:val="21"/>
          <w:highlight w:val="none"/>
        </w:rPr>
        <w:t>规定</w:t>
      </w:r>
      <w:r>
        <w:rPr>
          <w:rFonts w:hint="default" w:ascii="Times New Roman" w:hAnsi="Times New Roman" w:eastAsiaTheme="minorEastAsia"/>
          <w:szCs w:val="21"/>
          <w:highlight w:val="none"/>
        </w:rPr>
        <w:t>。</w:t>
      </w:r>
    </w:p>
    <w:p w14:paraId="6ED4B976">
      <w:pPr>
        <w:spacing w:before="0" w:after="0" w:line="312" w:lineRule="exact"/>
        <w:jc w:val="left"/>
        <w:rPr>
          <w:rFonts w:hint="default" w:ascii="Times New Roman" w:hAnsi="Times New Roman" w:eastAsiaTheme="minorEastAsia"/>
          <w:szCs w:val="21"/>
          <w:highlight w:val="none"/>
          <w:lang w:val="en-US" w:eastAsia="zh-CN"/>
        </w:rPr>
      </w:pPr>
      <w:r>
        <w:rPr>
          <w:rFonts w:hint="eastAsia" w:ascii="Times New Roman" w:hAnsi="Times New Roman" w:eastAsia="黑体"/>
          <w:b/>
          <w:bCs/>
          <w:kern w:val="0"/>
          <w:szCs w:val="21"/>
          <w:highlight w:val="none"/>
          <w:lang w:val="en-US" w:eastAsia="zh-CN"/>
        </w:rPr>
        <w:t>3.0.6</w:t>
      </w:r>
      <w:r>
        <w:rPr>
          <w:rFonts w:hint="eastAsia" w:ascii="Times New Roman" w:hAnsi="Times New Roman" w:eastAsiaTheme="minorEastAsia"/>
          <w:szCs w:val="21"/>
          <w:highlight w:val="none"/>
          <w:lang w:val="en-US" w:eastAsia="zh-CN"/>
        </w:rPr>
        <w:t xml:space="preserve"> 对于采用预制桩植桩基础的建（构）筑物，在其施工及使用期间，应按现行行业标准《建筑变形测量规范》JGJ 8的有关规定进行沉降观测。</w:t>
      </w:r>
    </w:p>
    <w:p w14:paraId="210EF956">
      <w:pPr>
        <w:pStyle w:val="2"/>
        <w:spacing w:before="156" w:after="156"/>
        <w:rPr>
          <w:rFonts w:ascii="Times New Roman" w:hAnsi="Times New Roman"/>
          <w:highlight w:val="none"/>
        </w:rPr>
      </w:pPr>
      <w:bookmarkStart w:id="39" w:name="__x000F_4 设计"/>
      <w:r>
        <w:rPr>
          <w:rFonts w:hint="default" w:ascii="Times New Roman" w:hAnsi="Times New Roman" w:eastAsiaTheme="minorEastAsia"/>
          <w:szCs w:val="21"/>
          <w:highlight w:val="none"/>
        </w:rPr>
        <w:br w:type="page"/>
      </w:r>
      <w:bookmarkStart w:id="40" w:name="_Toc23327"/>
      <w:bookmarkStart w:id="41" w:name="_Toc14196"/>
      <w:bookmarkStart w:id="42" w:name="_Toc21151"/>
      <w:r>
        <w:rPr>
          <w:rFonts w:hint="default" w:ascii="Times New Roman" w:hAnsi="Times New Roman"/>
          <w:b/>
          <w:bCs w:val="0"/>
          <w:highlight w:val="none"/>
        </w:rPr>
        <w:t>4</w:t>
      </w:r>
      <w:r>
        <w:rPr>
          <w:rFonts w:hint="default" w:ascii="Times New Roman" w:hAnsi="Times New Roman"/>
          <w:highlight w:val="none"/>
        </w:rPr>
        <w:t xml:space="preserve"> </w:t>
      </w:r>
      <w:r>
        <w:rPr>
          <w:rFonts w:hint="default" w:ascii="Times New Roman" w:hAnsi="Times New Roman"/>
          <w:highlight w:val="none"/>
          <w:lang w:val="en-US" w:eastAsia="zh-CN"/>
        </w:rPr>
        <w:t>设计</w:t>
      </w:r>
      <w:bookmarkEnd w:id="34"/>
      <w:bookmarkEnd w:id="35"/>
      <w:bookmarkEnd w:id="40"/>
      <w:bookmarkEnd w:id="41"/>
      <w:bookmarkEnd w:id="42"/>
    </w:p>
    <w:bookmarkEnd w:id="39"/>
    <w:p w14:paraId="5B13A490">
      <w:pPr>
        <w:pStyle w:val="3"/>
        <w:spacing w:before="312" w:after="312"/>
        <w:rPr>
          <w:rFonts w:ascii="Times New Roman" w:hAnsi="Times New Roman"/>
          <w:highlight w:val="none"/>
        </w:rPr>
      </w:pPr>
      <w:bookmarkStart w:id="43" w:name="_Toc246129054"/>
      <w:bookmarkStart w:id="44" w:name="_Toc245029145"/>
      <w:bookmarkStart w:id="45" w:name="_Toc245028942"/>
      <w:bookmarkStart w:id="46" w:name="_Toc26117"/>
      <w:bookmarkStart w:id="47" w:name="_Toc478810137"/>
      <w:bookmarkStart w:id="48" w:name="_Toc246820960"/>
      <w:bookmarkStart w:id="49" w:name="_Toc30225"/>
      <w:bookmarkStart w:id="50" w:name="_Toc246392744"/>
      <w:bookmarkStart w:id="51" w:name="_Toc478803279"/>
      <w:bookmarkStart w:id="52" w:name="_Toc18428"/>
      <w:bookmarkStart w:id="53" w:name="_4.1 一般规定"/>
      <w:r>
        <w:rPr>
          <w:rFonts w:hint="default" w:ascii="Times New Roman" w:hAnsi="Times New Roman"/>
          <w:b/>
          <w:bCs w:val="0"/>
          <w:highlight w:val="none"/>
        </w:rPr>
        <w:t>4</w:t>
      </w:r>
      <w:r>
        <w:rPr>
          <w:rFonts w:ascii="Times New Roman" w:hAnsi="Times New Roman"/>
          <w:b/>
          <w:bCs w:val="0"/>
          <w:highlight w:val="none"/>
        </w:rPr>
        <w:t>.1</w:t>
      </w:r>
      <w:bookmarkEnd w:id="43"/>
      <w:bookmarkEnd w:id="44"/>
      <w:bookmarkEnd w:id="45"/>
      <w:r>
        <w:rPr>
          <w:rFonts w:ascii="Times New Roman" w:hAnsi="Times New Roman"/>
          <w:highlight w:val="none"/>
        </w:rPr>
        <w:t xml:space="preserve"> </w:t>
      </w:r>
      <w:r>
        <w:rPr>
          <w:rFonts w:hint="default" w:ascii="Times New Roman" w:hAnsi="Times New Roman"/>
          <w:highlight w:val="none"/>
          <w:lang w:val="en-US" w:eastAsia="zh-CN"/>
        </w:rPr>
        <w:t>一般规定</w:t>
      </w:r>
      <w:bookmarkEnd w:id="46"/>
      <w:bookmarkEnd w:id="47"/>
      <w:bookmarkEnd w:id="48"/>
      <w:bookmarkEnd w:id="49"/>
      <w:bookmarkEnd w:id="50"/>
      <w:bookmarkEnd w:id="51"/>
      <w:bookmarkEnd w:id="52"/>
    </w:p>
    <w:bookmarkEnd w:id="53"/>
    <w:p w14:paraId="43EEF180">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.1.1</w:t>
      </w:r>
      <w:r>
        <w:rPr>
          <w:rFonts w:ascii="Times New Roman" w:hAnsi="Times New Roman"/>
          <w:szCs w:val="21"/>
          <w:highlight w:val="none"/>
        </w:rPr>
        <w:t xml:space="preserve"> </w:t>
      </w:r>
      <w:r>
        <w:rPr>
          <w:rFonts w:hint="eastAsia" w:ascii="Times New Roman" w:hAnsi="Times New Roman"/>
          <w:szCs w:val="21"/>
          <w:highlight w:val="none"/>
          <w:lang w:val="en-US" w:eastAsia="zh-CN"/>
        </w:rPr>
        <w:t>预制桩植桩</w:t>
      </w:r>
      <w:r>
        <w:rPr>
          <w:rFonts w:hint="default" w:ascii="Times New Roman" w:hAnsi="Times New Roman" w:eastAsiaTheme="minorEastAsia"/>
          <w:szCs w:val="21"/>
          <w:highlight w:val="none"/>
        </w:rPr>
        <w:t>设计等级的划分应符合现行行业标准《建筑桩基技术规范》JGJ 94的有关规定。</w:t>
      </w:r>
    </w:p>
    <w:p w14:paraId="28FB8642">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.1.2</w:t>
      </w:r>
      <w:r>
        <w:rPr>
          <w:rFonts w:ascii="Times New Roman" w:hAnsi="Times New Roman"/>
          <w:b/>
          <w:kern w:val="0"/>
          <w:szCs w:val="21"/>
          <w:highlight w:val="none"/>
        </w:rPr>
        <w:t xml:space="preserve"> </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基础根据具体条件分别进行下列承载能力计算和稳定性验算：</w:t>
      </w:r>
    </w:p>
    <w:p w14:paraId="39A8AFE7">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应根据桩基的使用功能和受力特征分别进行桩基的竖向承载力计算和水平承载力计算；</w:t>
      </w:r>
    </w:p>
    <w:p w14:paraId="232E74D8">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应对桩身</w:t>
      </w:r>
      <w:r>
        <w:rPr>
          <w:rFonts w:hint="eastAsia" w:ascii="Times New Roman" w:hAnsi="Times New Roman" w:eastAsiaTheme="minorEastAsia"/>
          <w:szCs w:val="21"/>
          <w:highlight w:val="none"/>
          <w:lang w:val="en-US" w:eastAsia="zh-CN"/>
        </w:rPr>
        <w:t>和承台</w:t>
      </w:r>
      <w:r>
        <w:rPr>
          <w:rFonts w:hint="default" w:ascii="Times New Roman" w:hAnsi="Times New Roman" w:eastAsiaTheme="minorEastAsia"/>
          <w:strike w:val="0"/>
          <w:dstrike w:val="0"/>
          <w:szCs w:val="21"/>
          <w:highlight w:val="none"/>
        </w:rPr>
        <w:t>结构</w:t>
      </w:r>
      <w:r>
        <w:rPr>
          <w:rFonts w:hint="default" w:ascii="Times New Roman" w:hAnsi="Times New Roman" w:eastAsiaTheme="minorEastAsia"/>
          <w:szCs w:val="21"/>
          <w:highlight w:val="none"/>
        </w:rPr>
        <w:t>承载力进行计算；</w:t>
      </w:r>
    </w:p>
    <w:p w14:paraId="1A2603D2">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lang w:val="en-US" w:eastAsia="zh-CN"/>
        </w:rPr>
        <w:t xml:space="preserve"> </w:t>
      </w:r>
      <w:r>
        <w:rPr>
          <w:rFonts w:hint="eastAsia"/>
        </w:rPr>
        <w:t>当桩端平面以下存在软弱下卧层时，应进行软弱下卧层承载力验算</w:t>
      </w:r>
      <w:r>
        <w:rPr>
          <w:rFonts w:hint="default" w:ascii="Times New Roman" w:hAnsi="Times New Roman" w:eastAsiaTheme="minorEastAsia"/>
          <w:szCs w:val="21"/>
          <w:highlight w:val="none"/>
        </w:rPr>
        <w:t>；</w:t>
      </w:r>
    </w:p>
    <w:p w14:paraId="0C050376">
      <w:pPr>
        <w:spacing w:line="312" w:lineRule="exact"/>
        <w:ind w:firstLine="422" w:firstLineChars="200"/>
        <w:rPr>
          <w:rFonts w:hint="eastAsia" w:ascii="Times New Roman" w:hAnsi="Times New Roman" w:eastAsia="宋体"/>
          <w:szCs w:val="21"/>
          <w:highlight w:val="none"/>
          <w:lang w:val="en-US" w:eastAsia="zh-CN"/>
        </w:rPr>
      </w:pPr>
      <w:r>
        <w:rPr>
          <w:rFonts w:hint="eastAsia" w:ascii="Times New Roman" w:hAnsi="Times New Roman" w:eastAsia="黑体"/>
          <w:b/>
          <w:bCs/>
          <w:kern w:val="0"/>
          <w:szCs w:val="21"/>
          <w:highlight w:val="none"/>
          <w:lang w:val="en-US" w:eastAsia="zh-CN"/>
        </w:rPr>
        <w:t>4</w:t>
      </w:r>
      <w:r>
        <w:rPr>
          <w:rFonts w:hint="eastAsia" w:ascii="Times New Roman" w:hAnsi="Times New Roman" w:eastAsiaTheme="minorEastAsia"/>
          <w:szCs w:val="21"/>
          <w:highlight w:val="none"/>
          <w:lang w:val="en-US" w:eastAsia="zh-CN"/>
        </w:rPr>
        <w:t xml:space="preserve"> </w:t>
      </w:r>
      <w:r>
        <w:rPr>
          <w:rFonts w:hint="eastAsia"/>
        </w:rPr>
        <w:t>对位于坡地</w:t>
      </w:r>
      <w:r>
        <w:rPr>
          <w:rFonts w:hint="eastAsia"/>
          <w:lang w:eastAsia="zh-CN"/>
        </w:rPr>
        <w:t>、</w:t>
      </w:r>
      <w:r>
        <w:rPr>
          <w:rFonts w:hint="eastAsia"/>
        </w:rPr>
        <w:t>岸边的桩基，应进行整体稳定性验算</w:t>
      </w:r>
      <w:r>
        <w:rPr>
          <w:rFonts w:hint="eastAsia"/>
          <w:lang w:eastAsia="zh-CN"/>
        </w:rPr>
        <w:t>；</w:t>
      </w:r>
    </w:p>
    <w:p w14:paraId="004E50A0">
      <w:pPr>
        <w:spacing w:line="312" w:lineRule="exact"/>
        <w:ind w:firstLine="422" w:firstLineChars="200"/>
        <w:rPr>
          <w:rFonts w:hint="default" w:ascii="Times New Roman" w:hAnsi="Times New Roman" w:eastAsiaTheme="minorEastAsia"/>
          <w:szCs w:val="21"/>
          <w:highlight w:val="none"/>
        </w:rPr>
      </w:pPr>
      <w:r>
        <w:rPr>
          <w:rFonts w:hint="eastAsia" w:ascii="Times New Roman" w:hAnsi="Times New Roman" w:eastAsia="黑体"/>
          <w:b/>
          <w:bCs/>
          <w:kern w:val="0"/>
          <w:szCs w:val="21"/>
          <w:highlight w:val="none"/>
          <w:lang w:val="en-US" w:eastAsia="zh-CN"/>
        </w:rPr>
        <w:t>5</w:t>
      </w:r>
      <w:r>
        <w:rPr>
          <w:rFonts w:hint="default" w:ascii="Times New Roman" w:hAnsi="Times New Roman" w:eastAsiaTheme="minorEastAsia"/>
          <w:szCs w:val="21"/>
          <w:highlight w:val="none"/>
          <w:lang w:val="en-US" w:eastAsia="zh-CN"/>
        </w:rPr>
        <w:t xml:space="preserve"> </w:t>
      </w:r>
      <w:r>
        <w:rPr>
          <w:rFonts w:hint="eastAsia"/>
        </w:rPr>
        <w:t>对于抗浮</w:t>
      </w:r>
      <w:r>
        <w:rPr>
          <w:rFonts w:hint="eastAsia"/>
          <w:lang w:eastAsia="zh-CN"/>
        </w:rPr>
        <w:t>、</w:t>
      </w:r>
      <w:r>
        <w:rPr>
          <w:rFonts w:hint="eastAsia"/>
        </w:rPr>
        <w:t>抗拔桩基，应进行基桩和群桩的抗拔承载力计算</w:t>
      </w:r>
      <w:r>
        <w:rPr>
          <w:rFonts w:hint="default" w:ascii="Times New Roman" w:hAnsi="Times New Roman" w:eastAsiaTheme="minorEastAsia"/>
          <w:szCs w:val="21"/>
          <w:highlight w:val="none"/>
        </w:rPr>
        <w:t>；</w:t>
      </w:r>
    </w:p>
    <w:p w14:paraId="1C8D00C8">
      <w:pPr>
        <w:spacing w:line="312" w:lineRule="exact"/>
        <w:ind w:firstLine="422" w:firstLineChars="200"/>
        <w:rPr>
          <w:rFonts w:hint="default"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6</w:t>
      </w:r>
      <w:r>
        <w:rPr>
          <w:rFonts w:hint="default" w:ascii="Times New Roman" w:hAnsi="Times New Roman" w:eastAsiaTheme="minorEastAsia"/>
          <w:szCs w:val="21"/>
          <w:highlight w:val="none"/>
          <w:lang w:val="en-US" w:eastAsia="zh-CN"/>
        </w:rPr>
        <w:t xml:space="preserve"> </w:t>
      </w:r>
      <w:r>
        <w:rPr>
          <w:rFonts w:hint="eastAsia"/>
        </w:rPr>
        <w:t>对于抗震设防区的桩基，应进行抗震承载力验算</w:t>
      </w:r>
      <w:r>
        <w:rPr>
          <w:rFonts w:hint="eastAsia" w:ascii="Times New Roman" w:hAnsi="Times New Roman" w:eastAsiaTheme="minorEastAsia"/>
          <w:szCs w:val="21"/>
          <w:highlight w:val="none"/>
          <w:lang w:eastAsia="zh-CN"/>
        </w:rPr>
        <w:t>。</w:t>
      </w:r>
    </w:p>
    <w:p w14:paraId="156124B6">
      <w:pPr>
        <w:widowControl w:val="0"/>
        <w:numPr>
          <w:ilvl w:val="0"/>
          <w:numId w:val="0"/>
        </w:numPr>
        <w:spacing w:line="312" w:lineRule="exact"/>
        <w:jc w:val="both"/>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.1.</w:t>
      </w:r>
      <w:r>
        <w:rPr>
          <w:rFonts w:hint="eastAsia" w:ascii="Times New Roman" w:hAnsi="Times New Roman" w:eastAsia="黑体"/>
          <w:b/>
          <w:bCs/>
          <w:kern w:val="0"/>
          <w:szCs w:val="21"/>
          <w:highlight w:val="none"/>
          <w:lang w:val="en-US" w:eastAsia="zh-CN"/>
        </w:rPr>
        <w:t>3</w:t>
      </w:r>
      <w:r>
        <w:rPr>
          <w:rFonts w:ascii="Times New Roman" w:hAnsi="Times New Roman"/>
          <w:b/>
          <w:szCs w:val="21"/>
          <w:highlight w:val="none"/>
        </w:rPr>
        <w:t xml:space="preserve"> </w:t>
      </w:r>
      <w:r>
        <w:rPr>
          <w:rFonts w:hint="eastAsia" w:ascii="Times New Roman" w:hAnsi="Times New Roman" w:eastAsiaTheme="minorEastAsia"/>
          <w:szCs w:val="21"/>
          <w:highlight w:val="none"/>
          <w:lang w:eastAsia="zh-CN"/>
        </w:rPr>
        <w:t>预制桩植桩</w:t>
      </w:r>
      <w:r>
        <w:rPr>
          <w:rFonts w:hint="default" w:ascii="Times New Roman" w:hAnsi="Times New Roman" w:eastAsiaTheme="minorEastAsia"/>
          <w:szCs w:val="21"/>
          <w:highlight w:val="none"/>
          <w:lang w:val="en-US" w:eastAsia="zh-CN"/>
        </w:rPr>
        <w:t>基础设计时，所采用的作用效应与相应的抗力应符合下列规定：</w:t>
      </w:r>
    </w:p>
    <w:p w14:paraId="0034FF48">
      <w:pPr>
        <w:widowControl w:val="0"/>
        <w:numPr>
          <w:ilvl w:val="0"/>
          <w:numId w:val="0"/>
        </w:numPr>
        <w:spacing w:line="312" w:lineRule="exact"/>
        <w:ind w:firstLine="422" w:firstLineChars="200"/>
        <w:jc w:val="both"/>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lang w:val="en-US" w:eastAsia="zh-CN"/>
        </w:rPr>
        <w:t>1</w:t>
      </w:r>
      <w:r>
        <w:rPr>
          <w:rFonts w:hint="default" w:ascii="Times New Roman" w:hAnsi="Times New Roman" w:eastAsiaTheme="minorEastAsia"/>
          <w:szCs w:val="21"/>
          <w:highlight w:val="none"/>
          <w:lang w:val="en-US" w:eastAsia="zh-CN"/>
        </w:rPr>
        <w:t xml:space="preserve"> 确定桩数和布桩时，应采用传至承台底面的荷载效应标准组合</w:t>
      </w:r>
      <w:r>
        <w:rPr>
          <w:rFonts w:hint="eastAsia" w:ascii="Times New Roman" w:hAnsi="Times New Roman" w:eastAsiaTheme="minorEastAsia"/>
          <w:szCs w:val="21"/>
          <w:highlight w:val="none"/>
          <w:lang w:val="en-US" w:eastAsia="zh-CN"/>
        </w:rPr>
        <w:t>，</w:t>
      </w:r>
      <w:r>
        <w:rPr>
          <w:rFonts w:hint="default" w:ascii="Times New Roman" w:hAnsi="Times New Roman" w:eastAsiaTheme="minorEastAsia"/>
          <w:szCs w:val="21"/>
          <w:highlight w:val="none"/>
          <w:lang w:val="en-US" w:eastAsia="zh-CN"/>
        </w:rPr>
        <w:t>相应的抗力应采用单桩承载力特征值；</w:t>
      </w:r>
    </w:p>
    <w:p w14:paraId="322A609B">
      <w:pPr>
        <w:widowControl w:val="0"/>
        <w:numPr>
          <w:ilvl w:val="0"/>
          <w:numId w:val="0"/>
        </w:numPr>
        <w:spacing w:line="312" w:lineRule="exact"/>
        <w:ind w:firstLine="422" w:firstLineChars="200"/>
        <w:jc w:val="both"/>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lang w:val="en-US" w:eastAsia="zh-CN"/>
        </w:rPr>
        <w:t xml:space="preserve"> 计算荷载作用下的桩基沉降和水平位移时，应采用荷载效应准永久组合；计算水平地震作用、风载作用下的桩基水平位移时，应采用水平地震作用、风载效应标准组合；</w:t>
      </w:r>
    </w:p>
    <w:p w14:paraId="3B3C4DC3">
      <w:pPr>
        <w:widowControl w:val="0"/>
        <w:numPr>
          <w:ilvl w:val="0"/>
          <w:numId w:val="0"/>
        </w:numPr>
        <w:spacing w:line="312" w:lineRule="exact"/>
        <w:ind w:firstLine="422" w:firstLineChars="200"/>
        <w:jc w:val="both"/>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lang w:val="en-US" w:eastAsia="zh-CN"/>
        </w:rPr>
        <w:t>3</w:t>
      </w:r>
      <w:r>
        <w:rPr>
          <w:rFonts w:hint="default" w:ascii="Times New Roman" w:hAnsi="Times New Roman" w:eastAsiaTheme="minorEastAsia"/>
          <w:szCs w:val="21"/>
          <w:highlight w:val="none"/>
          <w:lang w:val="en-US" w:eastAsia="zh-CN"/>
        </w:rPr>
        <w:t xml:space="preserve"> 验算坡地、岸边建筑桩基的整体稳定性时，应采用荷载效应标准组合；验算抗震设防区桩基的整体稳定性时，应采用地震作用效应和荷载效应的标准组合；</w:t>
      </w:r>
    </w:p>
    <w:p w14:paraId="43045DF1">
      <w:pPr>
        <w:widowControl w:val="0"/>
        <w:numPr>
          <w:ilvl w:val="0"/>
          <w:numId w:val="0"/>
        </w:numPr>
        <w:spacing w:line="312" w:lineRule="exact"/>
        <w:ind w:firstLine="422" w:firstLineChars="200"/>
        <w:jc w:val="both"/>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lang w:val="en-US" w:eastAsia="zh-CN"/>
        </w:rPr>
        <w:t>4</w:t>
      </w:r>
      <w:r>
        <w:rPr>
          <w:rFonts w:hint="default" w:ascii="Times New Roman" w:hAnsi="Times New Roman" w:eastAsiaTheme="minorEastAsia"/>
          <w:szCs w:val="21"/>
          <w:highlight w:val="none"/>
          <w:lang w:val="en-US" w:eastAsia="zh-CN"/>
        </w:rPr>
        <w:t xml:space="preserve"> 验算</w:t>
      </w:r>
      <w:r>
        <w:rPr>
          <w:rFonts w:hint="eastAsia" w:ascii="Times New Roman" w:hAnsi="Times New Roman" w:eastAsiaTheme="minorEastAsia"/>
          <w:szCs w:val="21"/>
          <w:highlight w:val="none"/>
          <w:lang w:val="en-US" w:eastAsia="zh-CN"/>
        </w:rPr>
        <w:t>桩</w:t>
      </w:r>
      <w:r>
        <w:rPr>
          <w:rFonts w:hint="default" w:ascii="Times New Roman" w:hAnsi="Times New Roman" w:eastAsiaTheme="minorEastAsia"/>
          <w:szCs w:val="21"/>
          <w:highlight w:val="none"/>
          <w:lang w:val="en-US" w:eastAsia="zh-CN"/>
        </w:rPr>
        <w:t>身强度时，上部结构传来的荷载效应组合和相应的基底反力，应按承载能力极限状态下荷载效应的基本组合，采用相应的分项系数；当进行承台和桩身裂缝控制验算时，应分别采用荷载效应标准组合和荷载效应准永久组合；</w:t>
      </w:r>
    </w:p>
    <w:p w14:paraId="32AF5123">
      <w:pPr>
        <w:keepNext w:val="0"/>
        <w:keepLines w:val="0"/>
        <w:pageBreakBefore w:val="0"/>
        <w:widowControl w:val="0"/>
        <w:numPr>
          <w:ilvl w:val="0"/>
          <w:numId w:val="0"/>
        </w:numPr>
        <w:kinsoku/>
        <w:wordWrap/>
        <w:overflowPunct/>
        <w:topLinePunct w:val="0"/>
        <w:autoSpaceDE/>
        <w:autoSpaceDN/>
        <w:bidi w:val="0"/>
        <w:adjustRightInd/>
        <w:snapToGrid/>
        <w:spacing w:after="0" w:afterLines="-2147483648" w:line="312" w:lineRule="exact"/>
        <w:ind w:firstLine="422" w:firstLineChars="200"/>
        <w:jc w:val="both"/>
        <w:textAlignment w:val="auto"/>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lang w:val="en-US" w:eastAsia="zh-CN"/>
        </w:rPr>
        <w:t>5</w:t>
      </w:r>
      <w:r>
        <w:rPr>
          <w:rFonts w:hint="default" w:ascii="Times New Roman" w:hAnsi="Times New Roman" w:eastAsiaTheme="minorEastAsia"/>
          <w:szCs w:val="21"/>
          <w:highlight w:val="none"/>
          <w:lang w:val="en-US" w:eastAsia="zh-CN"/>
        </w:rPr>
        <w:t xml:space="preserve"> 桩基结构安全等级、结构设计使用年限和结构重要性系数应按国家现行有关建筑结构标准的规定采用，结构重要性系数</w:t>
      </w:r>
      <w:r>
        <w:rPr>
          <w:rFonts w:hint="default" w:ascii="Times New Roman" w:hAnsi="Times New Roman" w:eastAsiaTheme="minorEastAsia"/>
          <w:position w:val="-12"/>
          <w:sz w:val="21"/>
          <w:szCs w:val="21"/>
          <w:highlight w:val="none"/>
          <w:lang w:val="en-US" w:eastAsia="zh-CN"/>
        </w:rPr>
        <w:object>
          <v:shape id="_x0000_i1065" o:spt="75" type="#_x0000_t75" style="height:18pt;width:13.95pt;" o:ole="t" filled="f" o:preferrelative="t" stroked="f" coordsize="21600,21600">
            <v:path/>
            <v:fill on="f" focussize="0,0"/>
            <v:stroke on="f"/>
            <v:imagedata r:id="rId89" o:title=""/>
            <o:lock v:ext="edit" aspectratio="t"/>
            <w10:wrap type="none"/>
            <w10:anchorlock/>
          </v:shape>
          <o:OLEObject Type="Embed" ProgID="Equation.KSEE3" ShapeID="_x0000_i1065" DrawAspect="Content" ObjectID="_1468075765" r:id="rId88">
            <o:LockedField>false</o:LockedField>
          </o:OLEObject>
        </w:object>
      </w:r>
      <w:r>
        <w:rPr>
          <w:rFonts w:hint="default" w:ascii="Times New Roman" w:hAnsi="Times New Roman" w:eastAsiaTheme="minorEastAsia"/>
          <w:szCs w:val="21"/>
          <w:highlight w:val="none"/>
          <w:lang w:val="en-US" w:eastAsia="zh-CN"/>
        </w:rPr>
        <w:t>不应小于1.0；</w:t>
      </w:r>
    </w:p>
    <w:p w14:paraId="281DD933">
      <w:pPr>
        <w:widowControl w:val="0"/>
        <w:numPr>
          <w:ilvl w:val="0"/>
          <w:numId w:val="0"/>
        </w:numPr>
        <w:spacing w:line="312" w:lineRule="exact"/>
        <w:ind w:firstLine="422" w:firstLineChars="200"/>
        <w:jc w:val="both"/>
        <w:rPr>
          <w:rFonts w:hint="default" w:ascii="Times New Roman" w:hAnsi="Times New Roman" w:eastAsiaTheme="minorEastAsia"/>
          <w:szCs w:val="21"/>
          <w:highlight w:val="none"/>
          <w:lang w:val="en-US" w:eastAsia="zh-CN"/>
        </w:rPr>
      </w:pPr>
      <w:r>
        <w:rPr>
          <w:rFonts w:hint="default" w:ascii="Times New Roman" w:hAnsi="Times New Roman" w:eastAsiaTheme="minorEastAsia"/>
          <w:b/>
          <w:bCs/>
          <w:kern w:val="2"/>
          <w:szCs w:val="21"/>
          <w:highlight w:val="none"/>
          <w:lang w:val="en-US" w:eastAsia="zh-CN"/>
        </w:rPr>
        <w:t>6</w:t>
      </w:r>
      <w:r>
        <w:rPr>
          <w:rFonts w:hint="default" w:ascii="Times New Roman" w:hAnsi="Times New Roman" w:eastAsiaTheme="minorEastAsia"/>
          <w:szCs w:val="21"/>
          <w:highlight w:val="none"/>
          <w:lang w:val="en-US" w:eastAsia="zh-CN"/>
        </w:rPr>
        <w:t xml:space="preserve"> 对桩基结构进行抗震验算时，其承载力调整系数应按</w:t>
      </w:r>
      <w:r>
        <w:rPr>
          <w:rFonts w:hint="eastAsia" w:ascii="Times New Roman" w:hAnsi="Times New Roman" w:eastAsiaTheme="minorEastAsia"/>
          <w:szCs w:val="21"/>
          <w:highlight w:val="none"/>
          <w:lang w:val="en-US" w:eastAsia="zh-CN"/>
        </w:rPr>
        <w:t>行业现行标准</w:t>
      </w:r>
      <w:r>
        <w:rPr>
          <w:rFonts w:hint="eastAsia" w:ascii="Times New Roman" w:hAnsi="Times New Roman" w:eastAsiaTheme="minorEastAsia"/>
          <w:strike w:val="0"/>
          <w:dstrike w:val="0"/>
          <w:szCs w:val="21"/>
          <w:highlight w:val="none"/>
          <w:lang w:val="en-US" w:eastAsia="zh-CN"/>
        </w:rPr>
        <w:t>《石油化工构筑物抗震设计规范》SH 3147</w:t>
      </w:r>
      <w:r>
        <w:rPr>
          <w:rFonts w:hint="default" w:ascii="Times New Roman" w:hAnsi="Times New Roman" w:eastAsiaTheme="minorEastAsia"/>
          <w:szCs w:val="21"/>
          <w:highlight w:val="none"/>
          <w:lang w:val="en-US" w:eastAsia="zh-CN"/>
        </w:rPr>
        <w:t>的规定采用。</w:t>
      </w:r>
    </w:p>
    <w:p w14:paraId="49953AC9">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.1.</w:t>
      </w:r>
      <w:r>
        <w:rPr>
          <w:rFonts w:hint="eastAsia" w:ascii="Times New Roman" w:hAnsi="Times New Roman" w:eastAsia="黑体"/>
          <w:b/>
          <w:bCs/>
          <w:kern w:val="0"/>
          <w:szCs w:val="21"/>
          <w:highlight w:val="none"/>
          <w:lang w:val="en-US" w:eastAsia="zh-CN"/>
        </w:rPr>
        <w:t>4</w:t>
      </w:r>
      <w:r>
        <w:rPr>
          <w:rFonts w:ascii="Times New Roman" w:hAnsi="Times New Roman"/>
          <w:b/>
          <w:szCs w:val="21"/>
          <w:highlight w:val="none"/>
        </w:rPr>
        <w:t xml:space="preserve"> </w:t>
      </w:r>
      <w:r>
        <w:rPr>
          <w:rFonts w:hint="eastAsia" w:ascii="Times New Roman" w:hAnsi="Times New Roman" w:eastAsiaTheme="minorEastAsia"/>
          <w:szCs w:val="21"/>
          <w:highlight w:val="none"/>
          <w:lang w:eastAsia="zh-CN"/>
        </w:rPr>
        <w:t>预制桩植桩</w:t>
      </w:r>
      <w:r>
        <w:rPr>
          <w:rFonts w:hint="default" w:ascii="Times New Roman" w:hAnsi="Times New Roman" w:eastAsiaTheme="minorEastAsia"/>
          <w:szCs w:val="21"/>
          <w:highlight w:val="none"/>
        </w:rPr>
        <w:t>基础承台的截面承载力计算和构造要求，应符合国家现行标准《建筑地基基础设计规范》</w:t>
      </w:r>
      <w:r>
        <w:rPr>
          <w:rFonts w:hint="eastAsia" w:ascii="Times New Roman" w:hAnsi="Times New Roman" w:eastAsiaTheme="minorEastAsia"/>
          <w:szCs w:val="21"/>
          <w:highlight w:val="none"/>
          <w:lang w:val="en-US" w:eastAsia="zh-CN"/>
        </w:rPr>
        <w:t>GB 50007</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行业</w:t>
      </w:r>
      <w:r>
        <w:rPr>
          <w:rFonts w:hint="eastAsia" w:ascii="Times New Roman" w:hAnsi="Times New Roman" w:eastAsiaTheme="minorEastAsia"/>
          <w:szCs w:val="21"/>
          <w:highlight w:val="none"/>
          <w:lang w:val="en-US" w:eastAsia="zh-CN"/>
        </w:rPr>
        <w:t>现行</w:t>
      </w:r>
      <w:r>
        <w:rPr>
          <w:rFonts w:hint="default" w:ascii="Times New Roman" w:hAnsi="Times New Roman" w:eastAsiaTheme="minorEastAsia"/>
          <w:szCs w:val="21"/>
          <w:highlight w:val="none"/>
        </w:rPr>
        <w:t>标准《建筑桩基技术规范》</w:t>
      </w:r>
      <w:r>
        <w:rPr>
          <w:rFonts w:hint="default" w:ascii="Times New Roman" w:hAnsi="Times New Roman" w:eastAsiaTheme="minorEastAsia"/>
          <w:szCs w:val="21"/>
          <w:highlight w:val="none"/>
          <w:lang w:val="en-US" w:eastAsia="zh-CN"/>
        </w:rPr>
        <w:t>JGJ 94</w:t>
      </w:r>
      <w:r>
        <w:rPr>
          <w:rFonts w:hint="eastAsia" w:ascii="Times New Roman" w:hAnsi="Times New Roman" w:eastAsiaTheme="minorEastAsia"/>
          <w:szCs w:val="21"/>
          <w:highlight w:val="none"/>
          <w:lang w:val="en-US" w:eastAsia="zh-CN"/>
        </w:rPr>
        <w:t>和石化行业现行标准</w:t>
      </w:r>
      <w:r>
        <w:rPr>
          <w:rFonts w:hint="default" w:ascii="Times New Roman" w:hAnsi="Times New Roman" w:eastAsiaTheme="minorEastAsia"/>
          <w:szCs w:val="21"/>
          <w:highlight w:val="none"/>
        </w:rPr>
        <w:t>的有关规定。</w:t>
      </w:r>
    </w:p>
    <w:p w14:paraId="2C14F6E5">
      <w:pPr>
        <w:keepNext w:val="0"/>
        <w:keepLines w:val="0"/>
        <w:pageBreakBefore w:val="0"/>
        <w:widowControl w:val="0"/>
        <w:kinsoku/>
        <w:wordWrap/>
        <w:overflowPunct/>
        <w:topLinePunct w:val="0"/>
        <w:autoSpaceDE/>
        <w:autoSpaceDN/>
        <w:bidi w:val="0"/>
        <w:adjustRightInd/>
        <w:snapToGrid/>
        <w:spacing w:line="312" w:lineRule="exact"/>
        <w:jc w:val="left"/>
        <w:textAlignment w:val="auto"/>
        <w:rPr>
          <w:rFonts w:hint="eastAsia" w:ascii="Times New Roman" w:hAnsi="Times New Roman" w:eastAsiaTheme="minorEastAsia"/>
          <w:strike w:val="0"/>
          <w:dstrike w:val="0"/>
          <w:szCs w:val="21"/>
          <w:highlight w:val="none"/>
          <w:lang w:val="en-US" w:eastAsia="zh-CN"/>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1</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5</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预制桩植桩用于腐蚀环境时应</w:t>
      </w:r>
      <w:r>
        <w:rPr>
          <w:rFonts w:hint="default" w:ascii="Times New Roman" w:hAnsi="Times New Roman" w:eastAsiaTheme="minorEastAsia"/>
          <w:szCs w:val="21"/>
          <w:highlight w:val="none"/>
        </w:rPr>
        <w:t>符合</w:t>
      </w:r>
      <w:r>
        <w:rPr>
          <w:rFonts w:hint="eastAsia" w:ascii="Times New Roman" w:hAnsi="Times New Roman" w:eastAsiaTheme="minorEastAsia"/>
          <w:strike w:val="0"/>
          <w:dstrike w:val="0"/>
          <w:szCs w:val="21"/>
          <w:highlight w:val="none"/>
          <w:lang w:val="en-US" w:eastAsia="zh-CN"/>
        </w:rPr>
        <w:t>《工业建筑防腐蚀设计标准》GB/T 50046</w:t>
      </w:r>
      <w:r>
        <w:rPr>
          <w:rFonts w:hint="eastAsia" w:ascii="Times New Roman" w:hAnsi="Times New Roman" w:eastAsiaTheme="minorEastAsia"/>
          <w:szCs w:val="21"/>
          <w:highlight w:val="none"/>
        </w:rPr>
        <w:t>、</w:t>
      </w:r>
      <w:r>
        <w:rPr>
          <w:rFonts w:hint="eastAsia" w:ascii="Times New Roman" w:hAnsi="Times New Roman" w:eastAsiaTheme="minorEastAsia"/>
          <w:szCs w:val="21"/>
          <w:highlight w:val="none"/>
          <w:lang w:val="en-US" w:eastAsia="zh-CN"/>
        </w:rPr>
        <w:t>《</w:t>
      </w:r>
      <w:r>
        <w:rPr>
          <w:rFonts w:hint="eastAsia" w:ascii="Times New Roman" w:hAnsi="Times New Roman" w:eastAsiaTheme="minorEastAsia"/>
          <w:szCs w:val="21"/>
          <w:highlight w:val="none"/>
        </w:rPr>
        <w:t>石油化工建(构)筑物防腐蚀设计规范</w:t>
      </w:r>
      <w:r>
        <w:rPr>
          <w:rFonts w:hint="eastAsia" w:ascii="Times New Roman" w:hAnsi="Times New Roman" w:eastAsiaTheme="minorEastAsia"/>
          <w:szCs w:val="21"/>
          <w:highlight w:val="none"/>
          <w:lang w:val="en-US" w:eastAsia="zh-CN"/>
        </w:rPr>
        <w:t>》</w:t>
      </w:r>
      <w:r>
        <w:rPr>
          <w:rFonts w:hint="eastAsia" w:ascii="Times New Roman" w:hAnsi="Times New Roman" w:eastAsiaTheme="minorEastAsia"/>
          <w:szCs w:val="21"/>
          <w:highlight w:val="none"/>
          <w:lang w:eastAsia="zh-CN"/>
        </w:rPr>
        <w:t>SH/T 3233</w:t>
      </w:r>
      <w:r>
        <w:rPr>
          <w:rFonts w:hint="eastAsia" w:ascii="Times New Roman" w:hAnsi="Times New Roman" w:eastAsiaTheme="minorEastAsia"/>
          <w:bCs w:val="0"/>
          <w:szCs w:val="21"/>
          <w:highlight w:val="none"/>
          <w:lang w:val="en-US" w:eastAsia="zh-CN"/>
        </w:rPr>
        <w:t>等</w:t>
      </w:r>
      <w:r>
        <w:rPr>
          <w:rFonts w:hint="default" w:ascii="Times New Roman" w:hAnsi="Times New Roman" w:eastAsiaTheme="minorEastAsia"/>
          <w:szCs w:val="21"/>
          <w:highlight w:val="none"/>
        </w:rPr>
        <w:t>国家</w:t>
      </w:r>
      <w:r>
        <w:rPr>
          <w:rFonts w:hint="eastAsia" w:ascii="Times New Roman" w:hAnsi="Times New Roman" w:eastAsiaTheme="minorEastAsia"/>
          <w:szCs w:val="21"/>
          <w:highlight w:val="none"/>
          <w:lang w:val="en-US" w:eastAsia="zh-CN"/>
        </w:rPr>
        <w:t>和行业</w:t>
      </w:r>
      <w:r>
        <w:rPr>
          <w:rFonts w:hint="default" w:ascii="Times New Roman" w:hAnsi="Times New Roman" w:eastAsiaTheme="minorEastAsia"/>
          <w:strike w:val="0"/>
          <w:dstrike w:val="0"/>
          <w:szCs w:val="21"/>
          <w:highlight w:val="none"/>
        </w:rPr>
        <w:t>现行标准</w:t>
      </w:r>
      <w:r>
        <w:rPr>
          <w:rFonts w:hint="eastAsia" w:ascii="Times New Roman" w:hAnsi="Times New Roman" w:eastAsiaTheme="minorEastAsia"/>
          <w:strike w:val="0"/>
          <w:dstrike w:val="0"/>
          <w:szCs w:val="21"/>
          <w:highlight w:val="none"/>
          <w:lang w:val="en-US" w:eastAsia="zh-CN"/>
        </w:rPr>
        <w:t>的相关规定。</w:t>
      </w:r>
    </w:p>
    <w:p w14:paraId="59FF95AB">
      <w:pPr>
        <w:keepNext w:val="0"/>
        <w:keepLines w:val="0"/>
        <w:pageBreakBefore w:val="0"/>
        <w:widowControl w:val="0"/>
        <w:kinsoku/>
        <w:wordWrap/>
        <w:overflowPunct/>
        <w:topLinePunct w:val="0"/>
        <w:autoSpaceDE/>
        <w:autoSpaceDN/>
        <w:bidi w:val="0"/>
        <w:adjustRightInd/>
        <w:snapToGrid/>
        <w:spacing w:line="312" w:lineRule="exact"/>
        <w:jc w:val="left"/>
        <w:textAlignment w:val="auto"/>
        <w:rPr>
          <w:rFonts w:hint="eastAsia" w:ascii="Times New Roman" w:hAnsi="Times New Roman" w:eastAsiaTheme="minorEastAsia"/>
          <w:strike w:val="0"/>
          <w:dstrike w:val="0"/>
          <w:szCs w:val="21"/>
          <w:highlight w:val="none"/>
          <w:lang w:val="en-US" w:eastAsia="zh-CN"/>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1</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6</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预制桩植桩的沉降计算要求应</w:t>
      </w:r>
      <w:r>
        <w:rPr>
          <w:rFonts w:hint="default" w:ascii="Times New Roman" w:hAnsi="Times New Roman" w:eastAsiaTheme="minorEastAsia"/>
          <w:szCs w:val="21"/>
          <w:highlight w:val="none"/>
        </w:rPr>
        <w:t>符合</w:t>
      </w:r>
      <w:r>
        <w:rPr>
          <w:rFonts w:hint="eastAsia" w:ascii="Times New Roman" w:hAnsi="Times New Roman" w:eastAsiaTheme="minorEastAsia"/>
          <w:szCs w:val="21"/>
          <w:highlight w:val="none"/>
          <w:lang w:val="en-US" w:eastAsia="zh-CN"/>
        </w:rPr>
        <w:t>行业</w:t>
      </w:r>
      <w:r>
        <w:rPr>
          <w:rFonts w:hint="default" w:ascii="Times New Roman" w:hAnsi="Times New Roman" w:eastAsiaTheme="minorEastAsia"/>
          <w:strike w:val="0"/>
          <w:dstrike w:val="0"/>
          <w:szCs w:val="21"/>
          <w:highlight w:val="none"/>
        </w:rPr>
        <w:t>现行标准</w:t>
      </w:r>
      <w:r>
        <w:rPr>
          <w:rFonts w:hint="eastAsia" w:ascii="Times New Roman" w:hAnsi="Times New Roman" w:eastAsiaTheme="minorEastAsia"/>
          <w:strike w:val="0"/>
          <w:dstrike w:val="0"/>
          <w:szCs w:val="21"/>
          <w:highlight w:val="none"/>
          <w:lang w:val="en-US" w:eastAsia="zh-CN"/>
        </w:rPr>
        <w:t>《建筑桩基技术规范》JGJ 94的相关规定。</w:t>
      </w:r>
    </w:p>
    <w:p w14:paraId="5BB45B65">
      <w:pPr>
        <w:pStyle w:val="3"/>
        <w:keepNext w:val="0"/>
        <w:keepLines w:val="0"/>
        <w:pageBreakBefore w:val="0"/>
        <w:widowControl w:val="0"/>
        <w:kinsoku/>
        <w:wordWrap/>
        <w:overflowPunct/>
        <w:topLinePunct w:val="0"/>
        <w:autoSpaceDE/>
        <w:autoSpaceDN/>
        <w:bidi w:val="0"/>
        <w:adjustRightInd/>
        <w:snapToGrid/>
        <w:spacing w:before="312" w:after="312" w:line="312" w:lineRule="exact"/>
        <w:jc w:val="center"/>
        <w:textAlignment w:val="auto"/>
        <w:rPr>
          <w:rFonts w:hint="default" w:ascii="Times New Roman" w:hAnsi="Times New Roman" w:eastAsia="黑体"/>
          <w:kern w:val="0"/>
          <w:szCs w:val="21"/>
          <w:highlight w:val="none"/>
        </w:rPr>
      </w:pPr>
      <w:bookmarkStart w:id="54" w:name="_Toc478803280"/>
      <w:bookmarkStart w:id="55" w:name="_Toc478810138"/>
      <w:bookmarkStart w:id="56" w:name="_Toc10744"/>
      <w:bookmarkStart w:id="57" w:name="_Toc4009"/>
      <w:bookmarkStart w:id="58" w:name="_Toc12592"/>
      <w:bookmarkStart w:id="59" w:name="_4.2 选型和布置"/>
      <w:r>
        <w:rPr>
          <w:rFonts w:hint="default" w:ascii="Times New Roman" w:hAnsi="Times New Roman"/>
          <w:b/>
          <w:bCs w:val="0"/>
          <w:highlight w:val="none"/>
        </w:rPr>
        <w:t>4.2</w:t>
      </w:r>
      <w:r>
        <w:rPr>
          <w:rFonts w:hint="default" w:ascii="Times New Roman" w:hAnsi="Times New Roman"/>
          <w:highlight w:val="none"/>
        </w:rPr>
        <w:t xml:space="preserve"> </w:t>
      </w:r>
      <w:r>
        <w:rPr>
          <w:rFonts w:hint="default" w:ascii="Times New Roman" w:hAnsi="Times New Roman"/>
          <w:highlight w:val="none"/>
          <w:lang w:val="en-US" w:eastAsia="zh-CN"/>
        </w:rPr>
        <w:t>选型和布置</w:t>
      </w:r>
      <w:bookmarkEnd w:id="54"/>
      <w:bookmarkEnd w:id="55"/>
      <w:bookmarkEnd w:id="56"/>
      <w:bookmarkEnd w:id="57"/>
      <w:bookmarkEnd w:id="58"/>
    </w:p>
    <w:bookmarkEnd w:id="59"/>
    <w:p w14:paraId="6F3391DA">
      <w:pPr>
        <w:keepNext w:val="0"/>
        <w:keepLines w:val="0"/>
        <w:pageBreakBefore w:val="0"/>
        <w:widowControl w:val="0"/>
        <w:kinsoku/>
        <w:wordWrap/>
        <w:overflowPunct/>
        <w:topLinePunct w:val="0"/>
        <w:autoSpaceDE/>
        <w:autoSpaceDN/>
        <w:bidi w:val="0"/>
        <w:adjustRightInd/>
        <w:snapToGrid/>
        <w:spacing w:line="312" w:lineRule="exact"/>
        <w:jc w:val="left"/>
        <w:textAlignment w:val="auto"/>
        <w:rPr>
          <w:rFonts w:hint="eastAsia" w:ascii="Times New Roman" w:hAnsi="Times New Roman" w:eastAsiaTheme="minorEastAsia"/>
          <w:color w:val="auto"/>
          <w:szCs w:val="21"/>
          <w:highlight w:val="none"/>
          <w:lang w:val="en-US" w:eastAsia="zh-CN"/>
        </w:rPr>
      </w:pPr>
      <w:r>
        <w:rPr>
          <w:rFonts w:hint="default" w:ascii="Times New Roman" w:hAnsi="Times New Roman" w:eastAsia="黑体"/>
          <w:b/>
          <w:bCs/>
          <w:color w:val="auto"/>
          <w:kern w:val="0"/>
          <w:szCs w:val="21"/>
          <w:highlight w:val="none"/>
        </w:rPr>
        <w:t>4</w:t>
      </w:r>
      <w:r>
        <w:rPr>
          <w:rFonts w:ascii="Times New Roman" w:hAnsi="Times New Roman" w:eastAsia="黑体"/>
          <w:b/>
          <w:bCs/>
          <w:color w:val="auto"/>
          <w:kern w:val="0"/>
          <w:szCs w:val="21"/>
          <w:highlight w:val="none"/>
        </w:rPr>
        <w:t>.2.</w:t>
      </w:r>
      <w:r>
        <w:rPr>
          <w:rFonts w:hint="default" w:ascii="Times New Roman" w:hAnsi="Times New Roman" w:eastAsia="黑体"/>
          <w:b/>
          <w:bCs/>
          <w:color w:val="auto"/>
          <w:kern w:val="0"/>
          <w:szCs w:val="21"/>
          <w:highlight w:val="none"/>
        </w:rPr>
        <w:t>1</w:t>
      </w:r>
      <w:r>
        <w:rPr>
          <w:rFonts w:ascii="Times New Roman" w:hAnsi="Times New Roman" w:eastAsiaTheme="minorEastAsia"/>
          <w:color w:val="auto"/>
          <w:szCs w:val="21"/>
          <w:highlight w:val="none"/>
        </w:rPr>
        <w:t xml:space="preserve"> </w:t>
      </w:r>
      <w:r>
        <w:rPr>
          <w:rFonts w:hint="eastAsia" w:ascii="Times New Roman" w:hAnsi="Times New Roman" w:eastAsiaTheme="minorEastAsia"/>
          <w:color w:val="auto"/>
          <w:szCs w:val="21"/>
          <w:highlight w:val="none"/>
          <w:lang w:eastAsia="zh-CN"/>
        </w:rPr>
        <w:t>预制桩植桩</w:t>
      </w:r>
      <w:r>
        <w:rPr>
          <w:rFonts w:hint="eastAsia" w:ascii="Times New Roman" w:hAnsi="Times New Roman" w:eastAsiaTheme="minorEastAsia"/>
          <w:color w:val="auto"/>
          <w:szCs w:val="21"/>
          <w:highlight w:val="none"/>
          <w:lang w:val="en-US" w:eastAsia="zh-CN"/>
        </w:rPr>
        <w:t>的外芯类型、芯桩类型等</w:t>
      </w:r>
      <w:r>
        <w:rPr>
          <w:color w:val="auto"/>
          <w:szCs w:val="24"/>
          <w:highlight w:val="none"/>
        </w:rPr>
        <w:t>应根据上部</w:t>
      </w:r>
      <w:r>
        <w:rPr>
          <w:rFonts w:hint="eastAsia"/>
          <w:color w:val="auto"/>
          <w:szCs w:val="24"/>
          <w:highlight w:val="none"/>
          <w:lang w:val="en-US" w:eastAsia="zh-CN"/>
        </w:rPr>
        <w:t>结构、</w:t>
      </w:r>
      <w:r>
        <w:rPr>
          <w:color w:val="auto"/>
          <w:szCs w:val="24"/>
          <w:highlight w:val="none"/>
        </w:rPr>
        <w:t>荷载特征、工程地质</w:t>
      </w:r>
      <w:r>
        <w:rPr>
          <w:rFonts w:hint="eastAsia"/>
          <w:color w:val="auto"/>
          <w:szCs w:val="24"/>
          <w:highlight w:val="none"/>
          <w:lang w:eastAsia="zh-CN"/>
        </w:rPr>
        <w:t>、</w:t>
      </w:r>
      <w:r>
        <w:rPr>
          <w:color w:val="auto"/>
          <w:szCs w:val="24"/>
          <w:highlight w:val="none"/>
        </w:rPr>
        <w:t>水文地质等条件</w:t>
      </w:r>
      <w:r>
        <w:rPr>
          <w:rFonts w:hint="eastAsia"/>
          <w:color w:val="auto"/>
          <w:szCs w:val="24"/>
          <w:highlight w:val="none"/>
          <w:lang w:val="en-US" w:eastAsia="zh-CN"/>
        </w:rPr>
        <w:t>综合</w:t>
      </w:r>
      <w:r>
        <w:rPr>
          <w:color w:val="auto"/>
          <w:szCs w:val="24"/>
          <w:highlight w:val="none"/>
        </w:rPr>
        <w:t>确定</w:t>
      </w:r>
      <w:r>
        <w:rPr>
          <w:rFonts w:hint="eastAsia" w:ascii="Times New Roman" w:hAnsi="Times New Roman" w:eastAsiaTheme="minorEastAsia"/>
          <w:color w:val="auto"/>
          <w:szCs w:val="21"/>
          <w:highlight w:val="none"/>
          <w:lang w:val="en-US" w:eastAsia="zh-CN"/>
        </w:rPr>
        <w:t>。预制桩植桩的示意如</w:t>
      </w:r>
      <w:r>
        <w:rPr>
          <w:rFonts w:hint="eastAsia" w:ascii="Times New Roman" w:hAnsi="Times New Roman" w:eastAsiaTheme="minorEastAsia"/>
          <w:color w:val="auto"/>
          <w:szCs w:val="21"/>
          <w:highlight w:val="none"/>
        </w:rPr>
        <w:t>图4.2.1</w:t>
      </w:r>
      <w:r>
        <w:rPr>
          <w:rFonts w:hint="eastAsia" w:ascii="Times New Roman" w:hAnsi="Times New Roman" w:eastAsiaTheme="minorEastAsia"/>
          <w:color w:val="auto"/>
          <w:szCs w:val="21"/>
          <w:highlight w:val="none"/>
          <w:lang w:val="en-US" w:eastAsia="zh-CN"/>
        </w:rPr>
        <w:t>所示。</w:t>
      </w:r>
    </w:p>
    <w:p w14:paraId="31A1F2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Theme="minorEastAsia"/>
          <w:color w:val="auto"/>
          <w:szCs w:val="21"/>
          <w:highlight w:val="none"/>
          <w:lang w:val="en-US" w:eastAsia="zh-CN"/>
        </w:rPr>
      </w:pPr>
      <w:r>
        <w:drawing>
          <wp:inline distT="0" distB="0" distL="0" distR="0">
            <wp:extent cx="822960" cy="15849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90" cstate="print">
                      <a:extLst>
                        <a:ext uri="{28A0092B-C50C-407E-A947-70E740481C1C}">
                          <a14:useLocalDpi xmlns:a14="http://schemas.microsoft.com/office/drawing/2010/main" val="0"/>
                        </a:ext>
                      </a:extLst>
                    </a:blip>
                    <a:srcRect l="39607" t="7633" r="43208" b="11209"/>
                    <a:stretch>
                      <a:fillRect/>
                    </a:stretch>
                  </pic:blipFill>
                  <pic:spPr>
                    <a:xfrm>
                      <a:off x="0" y="0"/>
                      <a:ext cx="822960" cy="1584960"/>
                    </a:xfrm>
                    <a:prstGeom prst="rect">
                      <a:avLst/>
                    </a:prstGeom>
                    <a:noFill/>
                    <a:ln>
                      <a:noFill/>
                    </a:ln>
                  </pic:spPr>
                </pic:pic>
              </a:graphicData>
            </a:graphic>
          </wp:inline>
        </w:drawing>
      </w:r>
    </w:p>
    <w:p w14:paraId="03BB8125">
      <w:pPr>
        <w:spacing w:line="360" w:lineRule="auto"/>
        <w:jc w:val="center"/>
        <w:rPr>
          <w:rFonts w:hint="eastAsia" w:ascii="Times New Roman" w:hAnsi="Times New Roman" w:eastAsia="黑体"/>
          <w:b/>
          <w:sz w:val="18"/>
          <w:szCs w:val="18"/>
          <w:highlight w:val="none"/>
          <w:lang w:val="en-US" w:eastAsia="zh-CN"/>
        </w:rPr>
      </w:pPr>
      <w:r>
        <w:rPr>
          <w:rFonts w:hint="eastAsia" w:ascii="Times New Roman" w:hAnsi="Times New Roman" w:eastAsia="黑体"/>
          <w:b/>
          <w:sz w:val="18"/>
          <w:szCs w:val="18"/>
          <w:highlight w:val="none"/>
        </w:rPr>
        <w:t>图4.</w:t>
      </w:r>
      <w:r>
        <w:rPr>
          <w:rFonts w:hint="eastAsia" w:ascii="Times New Roman" w:hAnsi="Times New Roman" w:eastAsia="黑体"/>
          <w:b/>
          <w:sz w:val="18"/>
          <w:szCs w:val="18"/>
          <w:highlight w:val="none"/>
          <w:lang w:val="en-US" w:eastAsia="zh-CN"/>
        </w:rPr>
        <w:t>2.</w:t>
      </w:r>
      <w:r>
        <w:rPr>
          <w:rFonts w:hint="eastAsia" w:ascii="Times New Roman" w:hAnsi="Times New Roman" w:eastAsia="黑体"/>
          <w:b/>
          <w:sz w:val="18"/>
          <w:szCs w:val="18"/>
          <w:highlight w:val="none"/>
        </w:rPr>
        <w:t xml:space="preserve">1 </w:t>
      </w:r>
      <w:r>
        <w:rPr>
          <w:rFonts w:hint="eastAsia" w:ascii="Times New Roman" w:hAnsi="Times New Roman" w:eastAsia="黑体"/>
          <w:b/>
          <w:sz w:val="18"/>
          <w:szCs w:val="18"/>
          <w:highlight w:val="none"/>
          <w:lang w:val="en-US" w:eastAsia="zh-CN"/>
        </w:rPr>
        <w:t>预制桩植桩</w:t>
      </w:r>
      <w:r>
        <w:rPr>
          <w:rFonts w:hint="eastAsia" w:ascii="Times New Roman" w:hAnsi="Times New Roman" w:eastAsia="黑体"/>
          <w:b/>
          <w:sz w:val="18"/>
          <w:szCs w:val="18"/>
          <w:highlight w:val="none"/>
        </w:rPr>
        <w:t>示意</w:t>
      </w:r>
      <w:r>
        <w:rPr>
          <w:rFonts w:hint="eastAsia" w:ascii="Times New Roman" w:hAnsi="Times New Roman" w:eastAsia="黑体"/>
          <w:b/>
          <w:sz w:val="18"/>
          <w:szCs w:val="18"/>
          <w:highlight w:val="none"/>
          <w:lang w:val="en-US" w:eastAsia="zh-CN"/>
        </w:rPr>
        <w:t>图</w:t>
      </w:r>
    </w:p>
    <w:p w14:paraId="50B00BC7">
      <w:pPr>
        <w:ind w:left="720" w:hanging="600" w:hangingChars="400"/>
        <w:jc w:val="center"/>
        <w:rPr>
          <w:rFonts w:hint="default" w:ascii="Times New Roman" w:hAnsi="Times New Roman" w:eastAsia="宋体" w:cs="Times New Roman"/>
          <w:bCs/>
          <w:sz w:val="15"/>
          <w:szCs w:val="15"/>
          <w:highlight w:val="none"/>
          <w:lang w:val="en-US" w:eastAsia="zh-CN"/>
        </w:rPr>
      </w:pPr>
      <w:r>
        <w:rPr>
          <w:rFonts w:hint="eastAsia" w:ascii="Times New Roman" w:hAnsi="Times New Roman" w:cs="Times New Roman"/>
          <w:bCs/>
          <w:sz w:val="15"/>
          <w:szCs w:val="15"/>
          <w:highlight w:val="none"/>
        </w:rPr>
        <w:t>1—</w:t>
      </w:r>
      <w:r>
        <w:rPr>
          <w:rFonts w:hint="eastAsia" w:ascii="Times New Roman" w:hAnsi="Times New Roman" w:cs="Times New Roman"/>
          <w:bCs/>
          <w:sz w:val="15"/>
          <w:szCs w:val="15"/>
          <w:highlight w:val="none"/>
          <w:lang w:val="en-US" w:eastAsia="zh-CN"/>
        </w:rPr>
        <w:t>外芯</w:t>
      </w:r>
      <w:r>
        <w:rPr>
          <w:rFonts w:hint="eastAsia" w:ascii="Times New Roman" w:hAnsi="Times New Roman" w:cs="Times New Roman"/>
          <w:bCs/>
          <w:sz w:val="15"/>
          <w:szCs w:val="15"/>
          <w:highlight w:val="none"/>
        </w:rPr>
        <w:t xml:space="preserve">  2—</w:t>
      </w:r>
      <w:r>
        <w:rPr>
          <w:rFonts w:hint="eastAsia" w:ascii="Times New Roman" w:hAnsi="Times New Roman" w:cs="Times New Roman"/>
          <w:bCs/>
          <w:sz w:val="15"/>
          <w:szCs w:val="15"/>
          <w:highlight w:val="none"/>
          <w:lang w:val="en-US" w:eastAsia="zh-CN"/>
        </w:rPr>
        <w:t>芯桩</w:t>
      </w:r>
    </w:p>
    <w:p w14:paraId="551F2C3D">
      <w:pPr>
        <w:ind w:left="720" w:hanging="600" w:hangingChars="400"/>
        <w:jc w:val="center"/>
        <w:rPr>
          <w:rFonts w:hint="eastAsia" w:ascii="Times New Roman" w:hAnsi="Times New Roman" w:cs="Times New Roman"/>
          <w:bCs/>
          <w:sz w:val="15"/>
          <w:szCs w:val="15"/>
          <w:highlight w:val="none"/>
        </w:rPr>
      </w:pPr>
      <w:r>
        <w:rPr>
          <w:rFonts w:hint="eastAsia" w:ascii="Times New Roman" w:hAnsi="Times New Roman" w:cs="Times New Roman"/>
          <w:bCs/>
          <w:sz w:val="15"/>
          <w:szCs w:val="15"/>
          <w:highlight w:val="none"/>
        </w:rPr>
        <w:t>注：d为芯桩直径或边长，D为外芯直径</w:t>
      </w:r>
    </w:p>
    <w:p w14:paraId="395B2BF7">
      <w:pPr>
        <w:spacing w:line="312" w:lineRule="exact"/>
        <w:rPr>
          <w:rFonts w:hint="default" w:ascii="Times New Roman" w:hAnsi="Times New Roman" w:eastAsiaTheme="minorEastAsia"/>
          <w:color w:val="0000FF"/>
          <w:szCs w:val="21"/>
          <w:highlight w:val="none"/>
          <w:lang w:val="en-US" w:eastAsia="zh-CN"/>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.2.</w:t>
      </w:r>
      <w:r>
        <w:rPr>
          <w:rFonts w:hint="eastAsia" w:ascii="Times New Roman" w:hAnsi="Times New Roman" w:eastAsia="黑体"/>
          <w:b/>
          <w:bCs/>
          <w:kern w:val="0"/>
          <w:szCs w:val="21"/>
          <w:highlight w:val="none"/>
          <w:lang w:val="en-US" w:eastAsia="zh-CN"/>
        </w:rPr>
        <w:t>2</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eastAsia="zh-CN"/>
        </w:rPr>
        <w:t>预制桩植桩</w:t>
      </w:r>
      <w:r>
        <w:rPr>
          <w:rFonts w:hint="eastAsia" w:ascii="Times New Roman" w:hAnsi="Times New Roman" w:eastAsiaTheme="minorEastAsia"/>
          <w:szCs w:val="21"/>
          <w:highlight w:val="none"/>
          <w:lang w:val="en-US" w:eastAsia="zh-CN"/>
        </w:rPr>
        <w:t>芯桩、外芯的布置与</w:t>
      </w:r>
      <w:r>
        <w:rPr>
          <w:rFonts w:hint="default" w:ascii="Times New Roman" w:hAnsi="Times New Roman" w:eastAsiaTheme="minorEastAsia"/>
          <w:szCs w:val="21"/>
          <w:highlight w:val="none"/>
        </w:rPr>
        <w:t>选型</w:t>
      </w:r>
      <w:r>
        <w:rPr>
          <w:rFonts w:hint="default" w:ascii="Times New Roman" w:hAnsi="Times New Roman" w:eastAsiaTheme="minorEastAsia"/>
          <w:szCs w:val="21"/>
          <w:highlight w:val="none"/>
          <w:lang w:val="en-US" w:eastAsia="zh-CN"/>
        </w:rPr>
        <w:t>应符合下列规定：</w:t>
      </w:r>
    </w:p>
    <w:p w14:paraId="6244DF68">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Theme="minorEastAsia"/>
          <w:b/>
          <w:bCs/>
          <w:szCs w:val="21"/>
          <w:highlight w:val="none"/>
        </w:rPr>
        <w:t>1</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搅拌植桩和高压旋喷植桩的</w:t>
      </w:r>
      <w:r>
        <w:rPr>
          <w:rFonts w:hint="eastAsia" w:ascii="Times New Roman" w:hAnsi="Times New Roman" w:eastAsiaTheme="minorEastAsia"/>
          <w:szCs w:val="21"/>
          <w:highlight w:val="none"/>
          <w:lang w:val="en-US" w:eastAsia="zh-CN"/>
        </w:rPr>
        <w:t>外芯</w:t>
      </w:r>
      <w:r>
        <w:rPr>
          <w:rFonts w:hint="default" w:ascii="Times New Roman" w:hAnsi="Times New Roman" w:eastAsiaTheme="minorEastAsia"/>
          <w:szCs w:val="21"/>
          <w:highlight w:val="none"/>
          <w:lang w:val="en-US" w:eastAsia="zh-CN"/>
        </w:rPr>
        <w:t>直径与</w:t>
      </w:r>
      <w:r>
        <w:rPr>
          <w:rFonts w:hint="eastAsia" w:ascii="Times New Roman" w:hAnsi="Times New Roman" w:eastAsiaTheme="minorEastAsia"/>
          <w:szCs w:val="21"/>
          <w:highlight w:val="none"/>
          <w:lang w:val="en-US" w:eastAsia="zh-CN"/>
        </w:rPr>
        <w:t>芯桩</w:t>
      </w:r>
      <w:r>
        <w:rPr>
          <w:rFonts w:hint="default" w:ascii="Times New Roman" w:hAnsi="Times New Roman" w:eastAsiaTheme="minorEastAsia"/>
          <w:szCs w:val="21"/>
          <w:highlight w:val="none"/>
          <w:lang w:val="en-US" w:eastAsia="zh-CN"/>
        </w:rPr>
        <w:t>直径</w:t>
      </w:r>
      <w:r>
        <w:rPr>
          <w:rFonts w:hint="eastAsia" w:ascii="Times New Roman" w:hAnsi="Times New Roman" w:eastAsiaTheme="minorEastAsia"/>
          <w:szCs w:val="21"/>
          <w:highlight w:val="none"/>
          <w:lang w:val="en-US" w:eastAsia="zh-CN"/>
        </w:rPr>
        <w:t>或对角线长度</w:t>
      </w:r>
      <w:r>
        <w:rPr>
          <w:rFonts w:hint="default" w:ascii="Times New Roman" w:hAnsi="Times New Roman" w:eastAsiaTheme="minorEastAsia"/>
          <w:szCs w:val="21"/>
          <w:highlight w:val="none"/>
          <w:lang w:val="en-US" w:eastAsia="zh-CN"/>
        </w:rPr>
        <w:t>差值宜取100~</w:t>
      </w:r>
      <w:r>
        <w:rPr>
          <w:rFonts w:hint="eastAsia" w:ascii="Times New Roman" w:hAnsi="Times New Roman" w:eastAsiaTheme="minorEastAsia"/>
          <w:szCs w:val="21"/>
          <w:highlight w:val="none"/>
          <w:lang w:val="en-US" w:eastAsia="zh-CN"/>
        </w:rPr>
        <w:t>5</w:t>
      </w:r>
      <w:r>
        <w:rPr>
          <w:rFonts w:hint="default" w:ascii="Times New Roman" w:hAnsi="Times New Roman" w:eastAsiaTheme="minorEastAsia"/>
          <w:szCs w:val="21"/>
          <w:highlight w:val="none"/>
          <w:lang w:val="en-US" w:eastAsia="zh-CN"/>
        </w:rPr>
        <w:t>00mm</w:t>
      </w:r>
      <w:r>
        <w:rPr>
          <w:rFonts w:hint="eastAsia" w:ascii="Times New Roman" w:hAnsi="Times New Roman" w:eastAsiaTheme="minorEastAsia"/>
          <w:szCs w:val="21"/>
          <w:highlight w:val="none"/>
          <w:lang w:val="en-US" w:eastAsia="zh-CN"/>
        </w:rPr>
        <w:t>；</w:t>
      </w:r>
    </w:p>
    <w:p w14:paraId="31B7F4B0">
      <w:pPr>
        <w:spacing w:line="312" w:lineRule="exact"/>
        <w:ind w:firstLine="422" w:firstLineChars="200"/>
      </w:pPr>
      <w:r>
        <w:rPr>
          <w:rFonts w:hint="default" w:ascii="Times New Roman" w:hAnsi="Times New Roman" w:eastAsiaTheme="minorEastAsia"/>
          <w:b/>
          <w:bCs/>
          <w:szCs w:val="21"/>
          <w:highlight w:val="none"/>
          <w:lang w:val="en-US" w:eastAsia="zh-CN"/>
        </w:rPr>
        <w:t>2</w:t>
      </w:r>
      <w:r>
        <w:rPr>
          <w:rFonts w:hint="default" w:ascii="Times New Roman" w:hAnsi="Times New Roman" w:eastAsiaTheme="minorEastAsia"/>
          <w:szCs w:val="21"/>
          <w:highlight w:val="none"/>
          <w:lang w:val="en-US" w:eastAsia="zh-CN"/>
        </w:rPr>
        <w:t xml:space="preserve"> 旋挖植桩和长螺旋压灌植桩的</w:t>
      </w:r>
      <w:r>
        <w:rPr>
          <w:rFonts w:hint="eastAsia" w:ascii="Times New Roman" w:hAnsi="Times New Roman" w:eastAsiaTheme="minorEastAsia"/>
          <w:szCs w:val="21"/>
          <w:highlight w:val="none"/>
          <w:lang w:val="en-US" w:eastAsia="zh-CN"/>
        </w:rPr>
        <w:t>外芯</w:t>
      </w:r>
      <w:r>
        <w:rPr>
          <w:rFonts w:hint="default" w:ascii="Times New Roman" w:hAnsi="Times New Roman" w:eastAsiaTheme="minorEastAsia"/>
          <w:szCs w:val="21"/>
          <w:highlight w:val="none"/>
          <w:lang w:val="en-US" w:eastAsia="zh-CN"/>
        </w:rPr>
        <w:t>直径与</w:t>
      </w:r>
      <w:r>
        <w:rPr>
          <w:rFonts w:hint="eastAsia" w:ascii="Times New Roman" w:hAnsi="Times New Roman" w:eastAsiaTheme="minorEastAsia"/>
          <w:szCs w:val="21"/>
          <w:highlight w:val="none"/>
          <w:lang w:val="en-US" w:eastAsia="zh-CN"/>
        </w:rPr>
        <w:t>芯桩</w:t>
      </w:r>
      <w:r>
        <w:rPr>
          <w:rFonts w:hint="default" w:ascii="Times New Roman" w:hAnsi="Times New Roman" w:eastAsiaTheme="minorEastAsia"/>
          <w:szCs w:val="21"/>
          <w:highlight w:val="none"/>
          <w:lang w:val="en-US" w:eastAsia="zh-CN"/>
        </w:rPr>
        <w:t>直径</w:t>
      </w:r>
      <w:r>
        <w:rPr>
          <w:rFonts w:hint="eastAsia" w:ascii="Times New Roman" w:hAnsi="Times New Roman" w:eastAsiaTheme="minorEastAsia"/>
          <w:szCs w:val="21"/>
          <w:highlight w:val="none"/>
          <w:lang w:val="en-US" w:eastAsia="zh-CN"/>
        </w:rPr>
        <w:t>或对角线长度</w:t>
      </w:r>
      <w:r>
        <w:rPr>
          <w:rFonts w:hint="default" w:ascii="Times New Roman" w:hAnsi="Times New Roman" w:eastAsiaTheme="minorEastAsia"/>
          <w:szCs w:val="21"/>
          <w:highlight w:val="none"/>
          <w:lang w:val="en-US" w:eastAsia="zh-CN"/>
        </w:rPr>
        <w:t>差值宜取100~</w:t>
      </w:r>
      <w:r>
        <w:rPr>
          <w:rFonts w:hint="eastAsia" w:ascii="Times New Roman" w:hAnsi="Times New Roman" w:eastAsiaTheme="minorEastAsia"/>
          <w:szCs w:val="21"/>
          <w:highlight w:val="none"/>
          <w:lang w:val="en-US" w:eastAsia="zh-CN"/>
        </w:rPr>
        <w:t>3</w:t>
      </w:r>
      <w:r>
        <w:rPr>
          <w:rFonts w:hint="default" w:ascii="Times New Roman" w:hAnsi="Times New Roman" w:eastAsiaTheme="minorEastAsia"/>
          <w:szCs w:val="21"/>
          <w:highlight w:val="none"/>
          <w:lang w:val="en-US" w:eastAsia="zh-CN"/>
        </w:rPr>
        <w:t>00mm</w:t>
      </w:r>
      <w:r>
        <w:rPr>
          <w:rFonts w:hint="eastAsia" w:ascii="Times New Roman" w:hAnsi="Times New Roman" w:eastAsiaTheme="minorEastAsia"/>
          <w:szCs w:val="21"/>
          <w:highlight w:val="none"/>
          <w:lang w:val="en-US" w:eastAsia="zh-CN"/>
        </w:rPr>
        <w:t>；</w:t>
      </w:r>
    </w:p>
    <w:p w14:paraId="1F2076AA">
      <w:pPr>
        <w:spacing w:line="312" w:lineRule="exact"/>
        <w:ind w:firstLine="422" w:firstLineChars="200"/>
        <w:rPr>
          <w:rFonts w:hint="eastAsia"/>
          <w:lang w:val="en-US" w:eastAsia="zh-CN"/>
        </w:rPr>
      </w:pPr>
      <w:r>
        <w:rPr>
          <w:rFonts w:hint="eastAsia" w:ascii="Times New Roman" w:hAnsi="Times New Roman" w:eastAsiaTheme="minorEastAsia"/>
          <w:b/>
          <w:bCs/>
          <w:szCs w:val="21"/>
          <w:highlight w:val="none"/>
          <w:lang w:val="en-US" w:eastAsia="zh-CN"/>
        </w:rPr>
        <w:t>3</w:t>
      </w:r>
      <w:r>
        <w:rPr>
          <w:rFonts w:hint="eastAsia"/>
          <w:lang w:val="en-US" w:eastAsia="zh-CN"/>
        </w:rPr>
        <w:t xml:space="preserve"> 芯桩可采用预应力混凝土管桩、混合配筋混凝土管桩、预应力混凝土实心方桩、预应力混凝土空心方桩、超高强预应力混凝土管桩、钢管混凝土管桩、预制混凝土异型桩等；</w:t>
      </w:r>
    </w:p>
    <w:p w14:paraId="1A57C46C">
      <w:pPr>
        <w:spacing w:line="312" w:lineRule="exact"/>
        <w:ind w:firstLine="422" w:firstLineChars="200"/>
        <w:rPr>
          <w:rFonts w:hint="eastAsia" w:eastAsia="宋体"/>
          <w:lang w:val="en-US" w:eastAsia="zh-CN"/>
        </w:rPr>
      </w:pPr>
      <w:r>
        <w:rPr>
          <w:rFonts w:hint="eastAsia" w:ascii="Times New Roman" w:hAnsi="Times New Roman" w:eastAsiaTheme="minorEastAsia"/>
          <w:b/>
          <w:bCs/>
          <w:szCs w:val="21"/>
          <w:highlight w:val="none"/>
          <w:lang w:val="en-US" w:eastAsia="zh-CN"/>
        </w:rPr>
        <w:t>4</w:t>
      </w:r>
      <w:r>
        <w:rPr>
          <w:rFonts w:hint="eastAsia"/>
          <w:lang w:val="en-US" w:eastAsia="zh-CN"/>
        </w:rPr>
        <w:t xml:space="preserve"> 外芯可采用水泥土、水泥砂浆或混凝土等材料。当采用</w:t>
      </w:r>
      <w:r>
        <w:rPr>
          <w:rFonts w:hint="eastAsia" w:ascii="Times New Roman" w:hAnsi="Times New Roman"/>
          <w:szCs w:val="21"/>
          <w:highlight w:val="none"/>
          <w:lang w:eastAsia="zh-CN"/>
        </w:rPr>
        <w:t>水泥土或固化土</w:t>
      </w:r>
      <w:r>
        <w:rPr>
          <w:rFonts w:hint="eastAsia" w:ascii="Times New Roman" w:hAnsi="Times New Roman"/>
          <w:szCs w:val="21"/>
          <w:highlight w:val="none"/>
          <w:lang w:val="en-US" w:eastAsia="zh-CN"/>
        </w:rPr>
        <w:t>时，强度不宜低于1.5MPa，当采用</w:t>
      </w:r>
      <w:r>
        <w:rPr>
          <w:rFonts w:hint="default" w:ascii="Times New Roman" w:hAnsi="Times New Roman"/>
          <w:szCs w:val="21"/>
          <w:highlight w:val="none"/>
        </w:rPr>
        <w:t>水泥砂浆</w:t>
      </w:r>
      <w:r>
        <w:rPr>
          <w:rFonts w:hint="eastAsia" w:ascii="Times New Roman" w:hAnsi="Times New Roman"/>
          <w:szCs w:val="21"/>
          <w:highlight w:val="none"/>
          <w:lang w:val="en-US" w:eastAsia="zh-CN"/>
        </w:rPr>
        <w:t>时，</w:t>
      </w:r>
      <w:r>
        <w:rPr>
          <w:rFonts w:hint="default" w:ascii="Times New Roman" w:hAnsi="Times New Roman"/>
          <w:szCs w:val="21"/>
          <w:highlight w:val="none"/>
        </w:rPr>
        <w:t>强度等级不宜低于M</w:t>
      </w:r>
      <w:r>
        <w:rPr>
          <w:rFonts w:hint="eastAsia" w:ascii="Times New Roman" w:hAnsi="Times New Roman"/>
          <w:szCs w:val="21"/>
          <w:highlight w:val="none"/>
          <w:lang w:val="en-US" w:eastAsia="zh-CN"/>
        </w:rPr>
        <w:t>15</w:t>
      </w:r>
      <w:r>
        <w:rPr>
          <w:rFonts w:hint="default" w:ascii="Times New Roman" w:hAnsi="Times New Roman"/>
          <w:szCs w:val="21"/>
          <w:highlight w:val="none"/>
        </w:rPr>
        <w:t>，</w:t>
      </w:r>
      <w:r>
        <w:rPr>
          <w:rFonts w:hint="eastAsia" w:ascii="Times New Roman" w:hAnsi="Times New Roman"/>
          <w:szCs w:val="21"/>
          <w:highlight w:val="none"/>
          <w:lang w:val="en-US" w:eastAsia="zh-CN"/>
        </w:rPr>
        <w:t>当采用</w:t>
      </w:r>
      <w:r>
        <w:rPr>
          <w:rFonts w:hint="default" w:ascii="Times New Roman" w:hAnsi="Times New Roman"/>
          <w:szCs w:val="21"/>
          <w:highlight w:val="none"/>
        </w:rPr>
        <w:t>混凝土</w:t>
      </w:r>
      <w:r>
        <w:rPr>
          <w:rFonts w:hint="eastAsia" w:ascii="Times New Roman" w:hAnsi="Times New Roman"/>
          <w:szCs w:val="21"/>
          <w:highlight w:val="none"/>
          <w:lang w:val="en-US" w:eastAsia="zh-CN"/>
        </w:rPr>
        <w:t>时，</w:t>
      </w:r>
      <w:r>
        <w:rPr>
          <w:rFonts w:hint="default" w:ascii="Times New Roman" w:hAnsi="Times New Roman"/>
          <w:szCs w:val="21"/>
          <w:highlight w:val="none"/>
        </w:rPr>
        <w:t>强度等级不宜低于C20</w:t>
      </w:r>
      <w:r>
        <w:rPr>
          <w:rFonts w:hint="eastAsia" w:ascii="Times New Roman" w:hAnsi="Times New Roman"/>
          <w:szCs w:val="21"/>
          <w:highlight w:val="none"/>
          <w:lang w:eastAsia="zh-CN"/>
        </w:rPr>
        <w:t>。</w:t>
      </w:r>
    </w:p>
    <w:p w14:paraId="7D448D66">
      <w:pPr>
        <w:spacing w:line="312" w:lineRule="exact"/>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2</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3</w:t>
      </w:r>
      <w:r>
        <w:rPr>
          <w:rFonts w:ascii="Times New Roman" w:hAnsi="Times New Roman"/>
          <w:b/>
          <w:szCs w:val="21"/>
          <w:highlight w:val="none"/>
        </w:rPr>
        <w:t xml:space="preserve"> </w:t>
      </w:r>
      <w:r>
        <w:rPr>
          <w:rFonts w:hint="eastAsia" w:ascii="Times New Roman" w:hAnsi="Times New Roman" w:eastAsiaTheme="minorEastAsia"/>
          <w:szCs w:val="21"/>
          <w:highlight w:val="none"/>
          <w:lang w:eastAsia="zh-CN"/>
        </w:rPr>
        <w:t>预制桩植桩</w:t>
      </w:r>
      <w:r>
        <w:rPr>
          <w:rFonts w:hint="eastAsia" w:ascii="Times New Roman" w:hAnsi="Times New Roman" w:eastAsiaTheme="minorEastAsia"/>
          <w:szCs w:val="21"/>
          <w:highlight w:val="none"/>
          <w:lang w:val="en-US" w:eastAsia="zh-CN"/>
        </w:rPr>
        <w:t>的中心间距</w:t>
      </w:r>
      <w:r>
        <w:rPr>
          <w:rFonts w:hint="default" w:ascii="Times New Roman" w:hAnsi="Times New Roman" w:eastAsiaTheme="minorEastAsia"/>
          <w:szCs w:val="21"/>
          <w:highlight w:val="none"/>
          <w:lang w:val="en-US" w:eastAsia="zh-CN"/>
        </w:rPr>
        <w:t>应符合下列规定：</w:t>
      </w:r>
    </w:p>
    <w:p w14:paraId="642305A3">
      <w:pPr>
        <w:spacing w:line="360" w:lineRule="auto"/>
        <w:jc w:val="center"/>
        <w:rPr>
          <w:rFonts w:hint="default" w:ascii="Times New Roman" w:hAnsi="Times New Roman" w:eastAsia="黑体"/>
          <w:szCs w:val="21"/>
          <w:highlight w:val="none"/>
          <w:lang w:val="en-US" w:eastAsia="zh-CN"/>
        </w:rPr>
      </w:pPr>
      <w:r>
        <w:rPr>
          <w:rFonts w:ascii="Times New Roman" w:hAnsi="Times New Roman" w:eastAsia="黑体"/>
          <w:b/>
          <w:sz w:val="18"/>
          <w:szCs w:val="18"/>
          <w:highlight w:val="none"/>
        </w:rPr>
        <w:t>表</w:t>
      </w:r>
      <w:r>
        <w:rPr>
          <w:rFonts w:hint="default" w:ascii="Times New Roman" w:hAnsi="Times New Roman" w:eastAsia="黑体"/>
          <w:b/>
          <w:sz w:val="18"/>
          <w:szCs w:val="18"/>
          <w:highlight w:val="none"/>
        </w:rPr>
        <w:t>4.</w:t>
      </w:r>
      <w:r>
        <w:rPr>
          <w:rFonts w:hint="eastAsia" w:ascii="Times New Roman" w:hAnsi="Times New Roman" w:eastAsia="黑体"/>
          <w:b/>
          <w:sz w:val="18"/>
          <w:szCs w:val="18"/>
          <w:highlight w:val="none"/>
          <w:lang w:val="en-US" w:eastAsia="zh-CN"/>
        </w:rPr>
        <w:t>2</w:t>
      </w:r>
      <w:r>
        <w:rPr>
          <w:rFonts w:hint="default" w:ascii="Times New Roman" w:hAnsi="Times New Roman" w:eastAsia="黑体"/>
          <w:b/>
          <w:sz w:val="18"/>
          <w:szCs w:val="18"/>
          <w:highlight w:val="none"/>
        </w:rPr>
        <w:t>.</w:t>
      </w:r>
      <w:r>
        <w:rPr>
          <w:rFonts w:hint="eastAsia" w:ascii="Times New Roman" w:hAnsi="Times New Roman" w:eastAsia="黑体"/>
          <w:b/>
          <w:sz w:val="18"/>
          <w:szCs w:val="18"/>
          <w:highlight w:val="none"/>
          <w:lang w:val="en-US" w:eastAsia="zh-CN"/>
        </w:rPr>
        <w:t>3</w:t>
      </w:r>
      <w:r>
        <w:rPr>
          <w:rFonts w:ascii="Times New Roman" w:hAnsi="Times New Roman" w:eastAsia="黑体"/>
          <w:b/>
          <w:sz w:val="18"/>
          <w:szCs w:val="18"/>
          <w:highlight w:val="none"/>
        </w:rPr>
        <w:t xml:space="preserve"> </w:t>
      </w:r>
      <w:r>
        <w:rPr>
          <w:rFonts w:hint="eastAsia" w:ascii="Times New Roman" w:hAnsi="Times New Roman" w:eastAsia="黑体"/>
          <w:b/>
          <w:sz w:val="18"/>
          <w:szCs w:val="18"/>
          <w:highlight w:val="none"/>
          <w:lang w:val="en-US" w:eastAsia="zh-CN"/>
        </w:rPr>
        <w:t>基</w:t>
      </w:r>
      <w:r>
        <w:rPr>
          <w:rFonts w:ascii="Times New Roman" w:hAnsi="Times New Roman" w:eastAsia="黑体"/>
          <w:b/>
          <w:sz w:val="18"/>
          <w:szCs w:val="18"/>
          <w:highlight w:val="none"/>
        </w:rPr>
        <w:t>桩</w:t>
      </w:r>
      <w:r>
        <w:rPr>
          <w:rFonts w:hint="default" w:ascii="Times New Roman" w:hAnsi="Times New Roman" w:eastAsia="黑体"/>
          <w:b/>
          <w:sz w:val="18"/>
          <w:szCs w:val="18"/>
          <w:highlight w:val="none"/>
        </w:rPr>
        <w:t>的</w:t>
      </w:r>
      <w:r>
        <w:rPr>
          <w:rFonts w:hint="eastAsia" w:ascii="Times New Roman" w:hAnsi="Times New Roman" w:eastAsia="黑体"/>
          <w:b/>
          <w:sz w:val="18"/>
          <w:szCs w:val="18"/>
          <w:highlight w:val="none"/>
          <w:lang w:val="en-US" w:eastAsia="zh-CN"/>
        </w:rPr>
        <w:t>最小中心距</w:t>
      </w:r>
    </w:p>
    <w:tbl>
      <w:tblPr>
        <w:tblStyle w:val="4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429"/>
        <w:gridCol w:w="2323"/>
        <w:gridCol w:w="1360"/>
      </w:tblGrid>
      <w:tr w14:paraId="4D04C3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2429" w:type="dxa"/>
            <w:tcBorders>
              <w:tl2br w:val="nil"/>
              <w:tr2bl w:val="nil"/>
            </w:tcBorders>
            <w:vAlign w:val="center"/>
          </w:tcPr>
          <w:p w14:paraId="24BDB47A">
            <w:pPr>
              <w:spacing w:line="312" w:lineRule="exact"/>
              <w:jc w:val="center"/>
              <w:rPr>
                <w:rFonts w:hint="default" w:ascii="Times New Roman" w:hAnsi="Times New Roman" w:eastAsiaTheme="minorEastAsia"/>
                <w:sz w:val="18"/>
                <w:szCs w:val="18"/>
                <w:highlight w:val="none"/>
                <w:vertAlign w:val="baseline"/>
                <w:lang w:val="en-US" w:eastAsia="zh-CN"/>
              </w:rPr>
            </w:pPr>
            <w:r>
              <w:rPr>
                <w:rFonts w:hint="eastAsia" w:ascii="Times New Roman" w:hAnsi="Times New Roman" w:eastAsiaTheme="minorEastAsia"/>
                <w:sz w:val="18"/>
                <w:szCs w:val="18"/>
                <w:highlight w:val="none"/>
                <w:vertAlign w:val="baseline"/>
                <w:lang w:val="en-US" w:eastAsia="zh-CN"/>
              </w:rPr>
              <w:t>桩型</w:t>
            </w:r>
          </w:p>
        </w:tc>
        <w:tc>
          <w:tcPr>
            <w:tcW w:w="2323" w:type="dxa"/>
            <w:tcBorders>
              <w:tl2br w:val="nil"/>
              <w:tr2bl w:val="nil"/>
            </w:tcBorders>
          </w:tcPr>
          <w:p w14:paraId="3634D55D">
            <w:pPr>
              <w:spacing w:line="312" w:lineRule="exact"/>
              <w:jc w:val="center"/>
              <w:rPr>
                <w:rFonts w:hint="default" w:ascii="Times New Roman" w:hAnsi="Times New Roman" w:eastAsiaTheme="minorEastAsia"/>
                <w:sz w:val="18"/>
                <w:szCs w:val="18"/>
                <w:highlight w:val="none"/>
                <w:vertAlign w:val="baseline"/>
                <w:lang w:val="en-US" w:eastAsia="zh-CN"/>
              </w:rPr>
            </w:pPr>
            <w:r>
              <w:rPr>
                <w:rFonts w:hint="eastAsia" w:ascii="Times New Roman" w:hAnsi="Times New Roman" w:eastAsiaTheme="minorEastAsia"/>
                <w:sz w:val="18"/>
                <w:szCs w:val="18"/>
                <w:highlight w:val="none"/>
                <w:vertAlign w:val="baseline"/>
                <w:lang w:val="en-US" w:eastAsia="zh-CN"/>
              </w:rPr>
              <w:t>排数不少于3排且桩数不少于9根的摩擦型桩桩基</w:t>
            </w:r>
          </w:p>
        </w:tc>
        <w:tc>
          <w:tcPr>
            <w:tcW w:w="1360" w:type="dxa"/>
            <w:tcBorders>
              <w:tl2br w:val="nil"/>
              <w:tr2bl w:val="nil"/>
            </w:tcBorders>
            <w:vAlign w:val="center"/>
          </w:tcPr>
          <w:p w14:paraId="54DFD2AE">
            <w:pPr>
              <w:spacing w:line="312" w:lineRule="exact"/>
              <w:jc w:val="center"/>
              <w:rPr>
                <w:rFonts w:hint="default" w:ascii="Times New Roman" w:hAnsi="Times New Roman" w:eastAsiaTheme="minorEastAsia"/>
                <w:sz w:val="18"/>
                <w:szCs w:val="18"/>
                <w:highlight w:val="none"/>
                <w:vertAlign w:val="baseline"/>
                <w:lang w:val="en-US" w:eastAsia="zh-CN"/>
              </w:rPr>
            </w:pPr>
            <w:r>
              <w:rPr>
                <w:rFonts w:hint="eastAsia" w:ascii="Times New Roman" w:hAnsi="Times New Roman" w:eastAsiaTheme="minorEastAsia"/>
                <w:sz w:val="18"/>
                <w:szCs w:val="18"/>
                <w:highlight w:val="none"/>
                <w:vertAlign w:val="baseline"/>
                <w:lang w:val="en-US" w:eastAsia="zh-CN"/>
              </w:rPr>
              <w:t>其他情况</w:t>
            </w:r>
          </w:p>
        </w:tc>
      </w:tr>
      <w:tr w14:paraId="659D3C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29" w:type="dxa"/>
            <w:tcBorders>
              <w:tl2br w:val="nil"/>
              <w:tr2bl w:val="nil"/>
            </w:tcBorders>
          </w:tcPr>
          <w:p w14:paraId="3E424DCA">
            <w:pPr>
              <w:spacing w:line="312" w:lineRule="exact"/>
              <w:jc w:val="center"/>
              <w:rPr>
                <w:rFonts w:hint="default" w:ascii="Times New Roman" w:hAnsi="Times New Roman" w:eastAsiaTheme="minorEastAsia"/>
                <w:sz w:val="18"/>
                <w:szCs w:val="18"/>
                <w:highlight w:val="none"/>
                <w:vertAlign w:val="baseline"/>
                <w:lang w:val="en-US" w:eastAsia="zh-CN"/>
              </w:rPr>
            </w:pPr>
            <w:r>
              <w:rPr>
                <w:rFonts w:hint="default" w:ascii="Times New Roman" w:hAnsi="Times New Roman" w:eastAsiaTheme="minorEastAsia"/>
                <w:sz w:val="18"/>
                <w:szCs w:val="18"/>
                <w:highlight w:val="none"/>
                <w:lang w:val="en-US" w:eastAsia="zh-CN"/>
              </w:rPr>
              <w:t>搅拌植桩</w:t>
            </w:r>
            <w:r>
              <w:rPr>
                <w:rFonts w:hint="eastAsia" w:ascii="Times New Roman" w:hAnsi="Times New Roman" w:eastAsiaTheme="minorEastAsia"/>
                <w:sz w:val="18"/>
                <w:szCs w:val="18"/>
                <w:highlight w:val="none"/>
                <w:lang w:val="en-US" w:eastAsia="zh-CN"/>
              </w:rPr>
              <w:t>、</w:t>
            </w:r>
            <w:r>
              <w:rPr>
                <w:rFonts w:hint="default" w:ascii="Times New Roman" w:hAnsi="Times New Roman" w:eastAsiaTheme="minorEastAsia"/>
                <w:sz w:val="18"/>
                <w:szCs w:val="18"/>
                <w:highlight w:val="none"/>
                <w:lang w:val="en-US" w:eastAsia="zh-CN"/>
              </w:rPr>
              <w:t>高压旋喷植桩</w:t>
            </w:r>
          </w:p>
        </w:tc>
        <w:tc>
          <w:tcPr>
            <w:tcW w:w="2323" w:type="dxa"/>
            <w:tcBorders>
              <w:tl2br w:val="nil"/>
              <w:tr2bl w:val="nil"/>
            </w:tcBorders>
            <w:shd w:val="clear" w:color="auto" w:fill="auto"/>
            <w:vAlign w:val="top"/>
          </w:tcPr>
          <w:p w14:paraId="55EBFF5C">
            <w:pPr>
              <w:spacing w:line="312" w:lineRule="exact"/>
              <w:jc w:val="center"/>
              <w:rPr>
                <w:rFonts w:hint="default" w:ascii="Times New Roman" w:hAnsi="Times New Roman" w:cs="Times New Roman" w:eastAsiaTheme="minorEastAsia"/>
                <w:kern w:val="2"/>
                <w:sz w:val="18"/>
                <w:szCs w:val="18"/>
                <w:highlight w:val="none"/>
                <w:vertAlign w:val="baseline"/>
                <w:lang w:val="en-US" w:eastAsia="zh-CN" w:bidi="ar-SA"/>
              </w:rPr>
            </w:pPr>
            <w:r>
              <w:rPr>
                <w:rFonts w:hint="eastAsia" w:ascii="Times New Roman" w:hAnsi="Times New Roman" w:eastAsiaTheme="minorEastAsia"/>
                <w:sz w:val="18"/>
                <w:szCs w:val="18"/>
                <w:highlight w:val="none"/>
                <w:vertAlign w:val="baseline"/>
                <w:lang w:val="en-US" w:eastAsia="zh-CN"/>
              </w:rPr>
              <w:t>3.5d且3.0D</w:t>
            </w:r>
          </w:p>
        </w:tc>
        <w:tc>
          <w:tcPr>
            <w:tcW w:w="1360" w:type="dxa"/>
            <w:tcBorders>
              <w:tl2br w:val="nil"/>
              <w:tr2bl w:val="nil"/>
            </w:tcBorders>
            <w:shd w:val="clear" w:color="auto" w:fill="auto"/>
            <w:vAlign w:val="top"/>
          </w:tcPr>
          <w:p w14:paraId="51D5B5E3">
            <w:pPr>
              <w:spacing w:line="312" w:lineRule="exact"/>
              <w:jc w:val="center"/>
              <w:rPr>
                <w:rFonts w:hint="default" w:ascii="Times New Roman" w:hAnsi="Times New Roman" w:cs="Times New Roman" w:eastAsiaTheme="minorEastAsia"/>
                <w:kern w:val="2"/>
                <w:sz w:val="18"/>
                <w:szCs w:val="18"/>
                <w:highlight w:val="none"/>
                <w:vertAlign w:val="baseline"/>
                <w:lang w:val="en-US" w:eastAsia="zh-CN" w:bidi="ar-SA"/>
              </w:rPr>
            </w:pPr>
            <w:r>
              <w:rPr>
                <w:rFonts w:hint="eastAsia" w:ascii="Times New Roman" w:hAnsi="Times New Roman" w:eastAsiaTheme="minorEastAsia"/>
                <w:sz w:val="18"/>
                <w:szCs w:val="18"/>
                <w:highlight w:val="none"/>
                <w:vertAlign w:val="baseline"/>
                <w:lang w:val="en-US" w:eastAsia="zh-CN"/>
              </w:rPr>
              <w:t>3.0d且2.5D</w:t>
            </w:r>
          </w:p>
        </w:tc>
      </w:tr>
      <w:tr w14:paraId="254D67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29" w:type="dxa"/>
            <w:tcBorders>
              <w:tl2br w:val="nil"/>
              <w:tr2bl w:val="nil"/>
            </w:tcBorders>
          </w:tcPr>
          <w:p w14:paraId="4D917781">
            <w:pPr>
              <w:spacing w:line="312" w:lineRule="exact"/>
              <w:jc w:val="center"/>
              <w:rPr>
                <w:rFonts w:hint="default" w:ascii="Times New Roman" w:hAnsi="Times New Roman" w:eastAsiaTheme="minorEastAsia"/>
                <w:sz w:val="18"/>
                <w:szCs w:val="18"/>
                <w:highlight w:val="none"/>
                <w:vertAlign w:val="baseline"/>
                <w:lang w:val="en-US" w:eastAsia="zh-CN"/>
              </w:rPr>
            </w:pPr>
            <w:r>
              <w:rPr>
                <w:rFonts w:hint="default" w:ascii="Times New Roman" w:hAnsi="Times New Roman" w:eastAsiaTheme="minorEastAsia"/>
                <w:sz w:val="18"/>
                <w:szCs w:val="18"/>
                <w:highlight w:val="none"/>
                <w:lang w:val="en-US" w:eastAsia="zh-CN"/>
              </w:rPr>
              <w:t>旋挖植桩</w:t>
            </w:r>
            <w:r>
              <w:rPr>
                <w:rFonts w:hint="eastAsia" w:ascii="Times New Roman" w:hAnsi="Times New Roman" w:eastAsiaTheme="minorEastAsia"/>
                <w:sz w:val="18"/>
                <w:szCs w:val="18"/>
                <w:highlight w:val="none"/>
                <w:lang w:val="en-US" w:eastAsia="zh-CN"/>
              </w:rPr>
              <w:t>、</w:t>
            </w:r>
            <w:r>
              <w:rPr>
                <w:rFonts w:hint="default" w:ascii="Times New Roman" w:hAnsi="Times New Roman" w:eastAsiaTheme="minorEastAsia"/>
                <w:sz w:val="18"/>
                <w:szCs w:val="18"/>
                <w:highlight w:val="none"/>
                <w:lang w:val="en-US" w:eastAsia="zh-CN"/>
              </w:rPr>
              <w:t>长螺旋压灌植桩</w:t>
            </w:r>
          </w:p>
        </w:tc>
        <w:tc>
          <w:tcPr>
            <w:tcW w:w="2323" w:type="dxa"/>
            <w:tcBorders>
              <w:tl2br w:val="nil"/>
              <w:tr2bl w:val="nil"/>
            </w:tcBorders>
            <w:shd w:val="clear" w:color="auto" w:fill="auto"/>
            <w:vAlign w:val="top"/>
          </w:tcPr>
          <w:p w14:paraId="6D0DB812">
            <w:pPr>
              <w:spacing w:line="312" w:lineRule="exact"/>
              <w:jc w:val="center"/>
              <w:rPr>
                <w:rFonts w:hint="default" w:ascii="Times New Roman" w:hAnsi="Times New Roman" w:cs="Times New Roman" w:eastAsiaTheme="minorEastAsia"/>
                <w:kern w:val="2"/>
                <w:sz w:val="18"/>
                <w:szCs w:val="18"/>
                <w:highlight w:val="none"/>
                <w:vertAlign w:val="baseline"/>
                <w:lang w:val="en-US" w:eastAsia="zh-CN" w:bidi="ar-SA"/>
              </w:rPr>
            </w:pPr>
            <w:r>
              <w:rPr>
                <w:rFonts w:hint="eastAsia" w:ascii="Times New Roman" w:hAnsi="Times New Roman" w:eastAsiaTheme="minorEastAsia"/>
                <w:sz w:val="18"/>
                <w:szCs w:val="18"/>
                <w:highlight w:val="none"/>
                <w:vertAlign w:val="baseline"/>
                <w:lang w:val="en-US" w:eastAsia="zh-CN"/>
              </w:rPr>
              <w:t>3.0d且2.5D</w:t>
            </w:r>
          </w:p>
        </w:tc>
        <w:tc>
          <w:tcPr>
            <w:tcW w:w="1360" w:type="dxa"/>
            <w:tcBorders>
              <w:tl2br w:val="nil"/>
              <w:tr2bl w:val="nil"/>
            </w:tcBorders>
            <w:shd w:val="clear" w:color="auto" w:fill="auto"/>
            <w:vAlign w:val="top"/>
          </w:tcPr>
          <w:p w14:paraId="533BD959">
            <w:pPr>
              <w:spacing w:line="312" w:lineRule="exact"/>
              <w:jc w:val="center"/>
              <w:rPr>
                <w:rFonts w:hint="default" w:ascii="Times New Roman" w:hAnsi="Times New Roman" w:cs="Times New Roman" w:eastAsiaTheme="minorEastAsia"/>
                <w:kern w:val="2"/>
                <w:sz w:val="18"/>
                <w:szCs w:val="18"/>
                <w:highlight w:val="none"/>
                <w:vertAlign w:val="baseline"/>
                <w:lang w:val="en-US" w:eastAsia="zh-CN" w:bidi="ar-SA"/>
              </w:rPr>
            </w:pPr>
            <w:r>
              <w:rPr>
                <w:rFonts w:hint="eastAsia" w:ascii="Times New Roman" w:hAnsi="Times New Roman" w:eastAsiaTheme="minorEastAsia"/>
                <w:sz w:val="18"/>
                <w:szCs w:val="18"/>
                <w:highlight w:val="none"/>
                <w:vertAlign w:val="baseline"/>
                <w:lang w:val="en-US" w:eastAsia="zh-CN"/>
              </w:rPr>
              <w:t>3.0d且2.5D</w:t>
            </w:r>
          </w:p>
        </w:tc>
      </w:tr>
    </w:tbl>
    <w:p w14:paraId="6E98DF11">
      <w:pPr>
        <w:spacing w:line="312" w:lineRule="exact"/>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.2.</w:t>
      </w:r>
      <w:r>
        <w:rPr>
          <w:rFonts w:hint="eastAsia" w:ascii="Times New Roman" w:hAnsi="Times New Roman" w:eastAsia="黑体"/>
          <w:b/>
          <w:bCs/>
          <w:kern w:val="0"/>
          <w:szCs w:val="21"/>
          <w:highlight w:val="none"/>
          <w:lang w:val="en-US" w:eastAsia="zh-CN"/>
        </w:rPr>
        <w:t>4</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预制桩植桩芯桩</w:t>
      </w:r>
      <w:r>
        <w:rPr>
          <w:rFonts w:hint="default" w:ascii="Times New Roman" w:hAnsi="Times New Roman" w:eastAsiaTheme="minorEastAsia"/>
          <w:szCs w:val="21"/>
          <w:highlight w:val="none"/>
        </w:rPr>
        <w:t>中心至承台边缘的距离应符合下列规定：</w:t>
      </w:r>
    </w:p>
    <w:p w14:paraId="74E05705">
      <w:pPr>
        <w:spacing w:line="312" w:lineRule="exact"/>
        <w:ind w:firstLine="422" w:firstLineChars="200"/>
        <w:rPr>
          <w:rFonts w:hint="default" w:ascii="Times New Roman" w:hAnsi="Times New Roman" w:eastAsiaTheme="minorEastAsia"/>
          <w:szCs w:val="21"/>
          <w:highlight w:val="none"/>
          <w:lang w:eastAsia="zh-CN"/>
        </w:rPr>
      </w:pPr>
      <w:r>
        <w:rPr>
          <w:rFonts w:hint="default" w:ascii="Times New Roman" w:hAnsi="Times New Roman" w:eastAsiaTheme="minorEastAsia"/>
          <w:b/>
          <w:bCs/>
          <w:szCs w:val="21"/>
          <w:highlight w:val="none"/>
        </w:rPr>
        <w:t>1</w:t>
      </w:r>
      <w:r>
        <w:rPr>
          <w:rFonts w:hint="default"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lang w:val="en-US" w:eastAsia="zh-CN"/>
        </w:rPr>
        <w:t>对</w:t>
      </w:r>
      <w:r>
        <w:rPr>
          <w:rFonts w:hint="default" w:ascii="Times New Roman" w:hAnsi="Times New Roman" w:eastAsiaTheme="minorEastAsia"/>
          <w:szCs w:val="21"/>
          <w:highlight w:val="none"/>
        </w:rPr>
        <w:t>柱下独立桩基承台</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边桩中心至承台边缘的距离不宜小于</w:t>
      </w:r>
      <w:r>
        <w:rPr>
          <w:rFonts w:hint="eastAsia" w:ascii="Times New Roman" w:hAnsi="Times New Roman" w:eastAsiaTheme="minorEastAsia"/>
          <w:szCs w:val="21"/>
          <w:highlight w:val="none"/>
          <w:lang w:val="en-US" w:eastAsia="zh-CN"/>
        </w:rPr>
        <w:t>芯桩桩</w:t>
      </w:r>
      <w:r>
        <w:rPr>
          <w:rFonts w:hint="default" w:ascii="Times New Roman" w:hAnsi="Times New Roman" w:eastAsiaTheme="minorEastAsia"/>
          <w:szCs w:val="21"/>
          <w:highlight w:val="none"/>
        </w:rPr>
        <w:t>径或边长，且</w:t>
      </w:r>
      <w:r>
        <w:rPr>
          <w:rFonts w:hint="eastAsia" w:ascii="Times New Roman" w:hAnsi="Times New Roman" w:eastAsiaTheme="minorEastAsia"/>
          <w:szCs w:val="21"/>
          <w:highlight w:val="none"/>
          <w:lang w:val="en-US" w:eastAsia="zh-CN"/>
        </w:rPr>
        <w:t>芯桩</w:t>
      </w:r>
      <w:r>
        <w:rPr>
          <w:rFonts w:hint="default" w:ascii="Times New Roman" w:hAnsi="Times New Roman" w:eastAsiaTheme="minorEastAsia"/>
          <w:szCs w:val="21"/>
          <w:highlight w:val="none"/>
        </w:rPr>
        <w:t>边缘至承台边缘的距离不应小于150mm</w:t>
      </w:r>
      <w:r>
        <w:rPr>
          <w:rFonts w:hint="default" w:ascii="Times New Roman" w:hAnsi="Times New Roman" w:eastAsiaTheme="minorEastAsia"/>
          <w:szCs w:val="21"/>
          <w:highlight w:val="none"/>
          <w:lang w:eastAsia="zh-CN"/>
        </w:rPr>
        <w:t>；</w:t>
      </w:r>
    </w:p>
    <w:p w14:paraId="21CC5D43">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Theme="minorEastAsia"/>
          <w:b/>
          <w:bCs/>
          <w:szCs w:val="21"/>
          <w:highlight w:val="none"/>
        </w:rPr>
        <w:t>2</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对于墙下条形承台梁，</w:t>
      </w:r>
      <w:r>
        <w:rPr>
          <w:rFonts w:hint="eastAsia" w:ascii="Times New Roman" w:hAnsi="Times New Roman" w:eastAsiaTheme="minorEastAsia"/>
          <w:szCs w:val="21"/>
          <w:highlight w:val="none"/>
          <w:lang w:val="en-US" w:eastAsia="zh-CN"/>
        </w:rPr>
        <w:t>芯桩</w:t>
      </w:r>
      <w:r>
        <w:rPr>
          <w:rFonts w:hint="default" w:ascii="Times New Roman" w:hAnsi="Times New Roman" w:eastAsiaTheme="minorEastAsia"/>
          <w:szCs w:val="21"/>
          <w:highlight w:val="none"/>
        </w:rPr>
        <w:t>边缘至承台梁边缘的距离不应小于</w:t>
      </w:r>
      <w:r>
        <w:rPr>
          <w:rFonts w:hint="eastAsia" w:ascii="Times New Roman" w:hAnsi="Times New Roman" w:eastAsiaTheme="minorEastAsia"/>
          <w:szCs w:val="21"/>
          <w:highlight w:val="none"/>
          <w:lang w:val="en-US" w:eastAsia="zh-CN"/>
        </w:rPr>
        <w:t>75</w:t>
      </w:r>
      <w:r>
        <w:rPr>
          <w:rFonts w:hint="default" w:ascii="Times New Roman" w:hAnsi="Times New Roman" w:eastAsiaTheme="minorEastAsia"/>
          <w:szCs w:val="21"/>
          <w:highlight w:val="none"/>
        </w:rPr>
        <w:t>mm。</w:t>
      </w:r>
    </w:p>
    <w:p w14:paraId="70362896">
      <w:pPr>
        <w:spacing w:line="312" w:lineRule="exact"/>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2</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5</w:t>
      </w:r>
      <w:r>
        <w:rPr>
          <w:rFonts w:ascii="Times New Roman" w:hAnsi="Times New Roman"/>
          <w:b/>
          <w:szCs w:val="21"/>
          <w:highlight w:val="none"/>
        </w:rPr>
        <w:t xml:space="preserve"> </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lang w:val="en-US" w:eastAsia="zh-CN"/>
        </w:rPr>
        <w:t>应选择较硬土层作为桩端持力层，桩端全截面进入持力层的深度</w:t>
      </w:r>
      <w:r>
        <w:rPr>
          <w:rFonts w:hint="eastAsia" w:ascii="Times New Roman" w:hAnsi="Times New Roman" w:eastAsiaTheme="minorEastAsia"/>
          <w:szCs w:val="21"/>
          <w:highlight w:val="none"/>
          <w:lang w:val="en-US" w:eastAsia="zh-CN"/>
        </w:rPr>
        <w:t>按芯桩直径或边长计算</w:t>
      </w:r>
      <w:r>
        <w:rPr>
          <w:rFonts w:hint="default" w:ascii="Times New Roman" w:hAnsi="Times New Roman" w:eastAsiaTheme="minorEastAsia"/>
          <w:szCs w:val="21"/>
          <w:highlight w:val="none"/>
          <w:lang w:val="en-US" w:eastAsia="zh-CN"/>
        </w:rPr>
        <w:t>应</w:t>
      </w:r>
      <w:r>
        <w:rPr>
          <w:rFonts w:hint="default" w:ascii="Times New Roman" w:hAnsi="Times New Roman" w:eastAsiaTheme="minorEastAsia"/>
          <w:strike w:val="0"/>
          <w:dstrike w:val="0"/>
          <w:szCs w:val="21"/>
          <w:highlight w:val="none"/>
          <w:lang w:val="en-US" w:eastAsia="zh-CN"/>
        </w:rPr>
        <w:t>满足</w:t>
      </w:r>
      <w:r>
        <w:rPr>
          <w:rFonts w:hint="eastAsia" w:ascii="Times New Roman" w:hAnsi="Times New Roman" w:eastAsiaTheme="minorEastAsia"/>
          <w:szCs w:val="21"/>
          <w:highlight w:val="none"/>
          <w:lang w:val="en-US" w:eastAsia="zh-CN"/>
        </w:rPr>
        <w:t>现行行业标准</w:t>
      </w:r>
      <w:r>
        <w:rPr>
          <w:rFonts w:hint="eastAsia" w:ascii="Times New Roman" w:hAnsi="Times New Roman" w:eastAsiaTheme="minorEastAsia"/>
          <w:strike w:val="0"/>
          <w:dstrike w:val="0"/>
          <w:szCs w:val="21"/>
          <w:highlight w:val="none"/>
          <w:lang w:val="en-US" w:eastAsia="zh-CN"/>
        </w:rPr>
        <w:t>《石油化工构筑物抗震设计规范》SH 3147</w:t>
      </w:r>
      <w:r>
        <w:rPr>
          <w:rFonts w:hint="eastAsia" w:ascii="Times New Roman" w:hAnsi="Times New Roman" w:eastAsiaTheme="minorEastAsia"/>
          <w:szCs w:val="21"/>
          <w:highlight w:val="none"/>
          <w:lang w:val="en-US" w:eastAsia="zh-CN"/>
        </w:rPr>
        <w:t>及</w:t>
      </w:r>
      <w:r>
        <w:rPr>
          <w:rFonts w:hint="default" w:ascii="Times New Roman" w:hAnsi="Times New Roman" w:eastAsiaTheme="minorEastAsia"/>
          <w:szCs w:val="21"/>
          <w:highlight w:val="none"/>
          <w:lang w:val="en-US" w:eastAsia="zh-CN"/>
        </w:rPr>
        <w:t>《建筑桩基技术规范》JGJ 94的相关规定。</w:t>
      </w:r>
    </w:p>
    <w:p w14:paraId="747AB8E6">
      <w:pPr>
        <w:spacing w:line="312" w:lineRule="exact"/>
        <w:ind w:firstLine="0" w:firstLineChars="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.2.</w:t>
      </w:r>
      <w:r>
        <w:rPr>
          <w:rFonts w:hint="eastAsia" w:ascii="Times New Roman" w:hAnsi="Times New Roman" w:eastAsia="黑体"/>
          <w:b/>
          <w:bCs/>
          <w:kern w:val="0"/>
          <w:szCs w:val="21"/>
          <w:highlight w:val="none"/>
          <w:lang w:val="en-US" w:eastAsia="zh-CN"/>
        </w:rPr>
        <w:t>6</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预制桩植桩用作摩擦型桩时，长径比不宜大于120；用作端承型桩时，长径比不宜大于100。</w:t>
      </w:r>
    </w:p>
    <w:p w14:paraId="4CE28CD8">
      <w:pPr>
        <w:pStyle w:val="3"/>
        <w:spacing w:before="312" w:after="312"/>
        <w:rPr>
          <w:rFonts w:ascii="Times New Roman" w:hAnsi="Times New Roman" w:cs="Times New Roman"/>
          <w:highlight w:val="none"/>
        </w:rPr>
      </w:pPr>
      <w:bookmarkStart w:id="60" w:name="_Toc7295"/>
      <w:bookmarkStart w:id="61" w:name="_Toc3138"/>
      <w:bookmarkStart w:id="62" w:name="_Toc478803281"/>
      <w:bookmarkStart w:id="63" w:name="_Toc478810139"/>
      <w:bookmarkStart w:id="64" w:name="_Toc12872"/>
      <w:bookmarkStart w:id="65" w:name="_4.3 桩基设计"/>
      <w:r>
        <w:rPr>
          <w:rFonts w:hint="default" w:ascii="Times New Roman" w:hAnsi="Times New Roman" w:cs="Times New Roman"/>
          <w:b/>
          <w:bCs w:val="0"/>
          <w:highlight w:val="none"/>
        </w:rPr>
        <w:t>4.3</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桩基设计</w:t>
      </w:r>
      <w:bookmarkEnd w:id="60"/>
      <w:bookmarkEnd w:id="61"/>
      <w:bookmarkEnd w:id="62"/>
      <w:bookmarkEnd w:id="63"/>
      <w:bookmarkEnd w:id="64"/>
    </w:p>
    <w:bookmarkEnd w:id="65"/>
    <w:p w14:paraId="2E015552">
      <w:pPr>
        <w:spacing w:line="312" w:lineRule="exact"/>
        <w:rPr>
          <w:rFonts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.3.1</w:t>
      </w:r>
      <w:r>
        <w:rPr>
          <w:rFonts w:ascii="Times New Roman" w:hAnsi="Times New Roman" w:eastAsiaTheme="minorEastAsia"/>
          <w:szCs w:val="21"/>
          <w:highlight w:val="none"/>
        </w:rPr>
        <w:t xml:space="preserve"> 对于一般</w:t>
      </w:r>
      <w:r>
        <w:rPr>
          <w:rFonts w:hint="eastAsia" w:ascii="Times New Roman" w:hAnsi="Times New Roman" w:eastAsiaTheme="minorEastAsia"/>
          <w:szCs w:val="21"/>
          <w:highlight w:val="none"/>
          <w:lang w:eastAsia="zh-CN"/>
        </w:rPr>
        <w:t>建（构）筑物</w:t>
      </w:r>
      <w:r>
        <w:rPr>
          <w:rFonts w:ascii="Times New Roman" w:hAnsi="Times New Roman" w:eastAsiaTheme="minorEastAsia"/>
          <w:szCs w:val="21"/>
          <w:highlight w:val="none"/>
        </w:rPr>
        <w:t>和受水平力(包括力矩和水平剪</w:t>
      </w:r>
      <w:r>
        <w:rPr>
          <w:rFonts w:hint="default" w:ascii="Times New Roman" w:hAnsi="Times New Roman" w:eastAsiaTheme="minorEastAsia"/>
          <w:szCs w:val="21"/>
          <w:highlight w:val="none"/>
        </w:rPr>
        <w:t>力</w:t>
      </w:r>
      <w:r>
        <w:rPr>
          <w:rFonts w:ascii="Times New Roman" w:hAnsi="Times New Roman" w:eastAsiaTheme="minorEastAsia"/>
          <w:szCs w:val="21"/>
          <w:highlight w:val="none"/>
        </w:rPr>
        <w:t>)较小的</w:t>
      </w:r>
      <w:r>
        <w:rPr>
          <w:rFonts w:hint="eastAsia" w:ascii="Times New Roman" w:hAnsi="Times New Roman" w:eastAsiaTheme="minorEastAsia"/>
          <w:szCs w:val="21"/>
          <w:highlight w:val="none"/>
          <w:lang w:eastAsia="zh-CN"/>
        </w:rPr>
        <w:t>建（构）筑物</w:t>
      </w:r>
      <w:r>
        <w:rPr>
          <w:rFonts w:ascii="Times New Roman" w:hAnsi="Times New Roman" w:eastAsiaTheme="minorEastAsia"/>
          <w:strike w:val="0"/>
          <w:dstrike w:val="0"/>
          <w:szCs w:val="21"/>
          <w:highlight w:val="none"/>
        </w:rPr>
        <w:t>且</w:t>
      </w:r>
      <w:r>
        <w:rPr>
          <w:rFonts w:ascii="Times New Roman" w:hAnsi="Times New Roman" w:eastAsiaTheme="minorEastAsia"/>
          <w:szCs w:val="21"/>
          <w:highlight w:val="none"/>
        </w:rPr>
        <w:t>桩径相同的群桩基础，应按式</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w:t>
      </w:r>
      <w:r>
        <w:rPr>
          <w:rFonts w:hint="default" w:ascii="Times New Roman" w:hAnsi="Times New Roman" w:eastAsiaTheme="minorEastAsia"/>
          <w:szCs w:val="21"/>
          <w:highlight w:val="none"/>
        </w:rPr>
        <w:t>3</w:t>
      </w:r>
      <w:r>
        <w:rPr>
          <w:rFonts w:ascii="Times New Roman" w:hAnsi="Times New Roman" w:eastAsiaTheme="minorEastAsia"/>
          <w:szCs w:val="21"/>
          <w:highlight w:val="none"/>
        </w:rPr>
        <w:t>.1-1</w:t>
      </w:r>
      <w:r>
        <w:rPr>
          <w:rFonts w:hint="eastAsia" w:ascii="Times New Roman" w:hAnsi="Times New Roman" w:eastAsiaTheme="minorEastAsia"/>
          <w:szCs w:val="21"/>
          <w:highlight w:val="none"/>
          <w:lang w:eastAsia="zh-CN"/>
        </w:rPr>
        <w:t>）</w:t>
      </w:r>
      <w:r>
        <w:rPr>
          <w:rFonts w:hint="eastAsia" w:ascii="Times New Roman" w:hAnsi="Times New Roman" w:eastAsiaTheme="minorEastAsia"/>
          <w:szCs w:val="21"/>
          <w:highlight w:val="none"/>
          <w:lang w:val="en-US" w:eastAsia="zh-CN"/>
        </w:rPr>
        <w:t>~</w:t>
      </w:r>
      <w:r>
        <w:rPr>
          <w:rFonts w:ascii="Times New Roman" w:hAnsi="Times New Roman" w:eastAsiaTheme="minorEastAsia"/>
          <w:szCs w:val="21"/>
          <w:highlight w:val="none"/>
        </w:rPr>
        <w:t>式</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w:t>
      </w:r>
      <w:r>
        <w:rPr>
          <w:rFonts w:hint="default" w:ascii="Times New Roman" w:hAnsi="Times New Roman" w:eastAsiaTheme="minorEastAsia"/>
          <w:szCs w:val="21"/>
          <w:highlight w:val="none"/>
        </w:rPr>
        <w:t>3</w:t>
      </w:r>
      <w:r>
        <w:rPr>
          <w:rFonts w:ascii="Times New Roman" w:hAnsi="Times New Roman" w:eastAsiaTheme="minorEastAsia"/>
          <w:szCs w:val="21"/>
          <w:highlight w:val="none"/>
        </w:rPr>
        <w:t>.1-</w:t>
      </w:r>
      <w:r>
        <w:rPr>
          <w:rFonts w:hint="default" w:ascii="Times New Roman" w:hAnsi="Times New Roman" w:eastAsiaTheme="minorEastAsia"/>
          <w:szCs w:val="21"/>
          <w:highlight w:val="none"/>
        </w:rPr>
        <w:t>3</w:t>
      </w:r>
      <w:r>
        <w:rPr>
          <w:rFonts w:hint="eastAsia" w:ascii="Times New Roman" w:hAnsi="Times New Roman" w:eastAsiaTheme="minorEastAsia"/>
          <w:szCs w:val="21"/>
          <w:highlight w:val="none"/>
          <w:lang w:eastAsia="zh-CN"/>
        </w:rPr>
        <w:t>）</w:t>
      </w:r>
      <w:r>
        <w:rPr>
          <w:rFonts w:ascii="Times New Roman" w:hAnsi="Times New Roman" w:eastAsiaTheme="minorEastAsia"/>
          <w:szCs w:val="21"/>
          <w:highlight w:val="none"/>
        </w:rPr>
        <w:t>计算群桩基础中</w:t>
      </w:r>
      <w:r>
        <w:rPr>
          <w:rFonts w:hint="default" w:ascii="Times New Roman" w:hAnsi="Times New Roman" w:eastAsiaTheme="minorEastAsia"/>
          <w:szCs w:val="21"/>
          <w:highlight w:val="none"/>
        </w:rPr>
        <w:t>基</w:t>
      </w:r>
      <w:r>
        <w:rPr>
          <w:rFonts w:ascii="Times New Roman" w:hAnsi="Times New Roman" w:eastAsiaTheme="minorEastAsia"/>
          <w:szCs w:val="21"/>
          <w:highlight w:val="none"/>
        </w:rPr>
        <w:t>桩的桩顶作用效应：</w:t>
      </w:r>
    </w:p>
    <w:p w14:paraId="15B1C53A">
      <w:pPr>
        <w:spacing w:line="312" w:lineRule="exact"/>
        <w:ind w:firstLine="422" w:firstLineChars="200"/>
        <w:rPr>
          <w:rFonts w:ascii="Times New Roman" w:hAnsi="Times New Roman" w:eastAsiaTheme="minorEastAsia"/>
          <w:szCs w:val="21"/>
          <w:highlight w:val="none"/>
        </w:rPr>
      </w:pPr>
      <w:r>
        <w:rPr>
          <w:rFonts w:ascii="Times New Roman" w:hAnsi="Times New Roman" w:eastAsia="黑体"/>
          <w:b/>
          <w:bCs/>
          <w:kern w:val="0"/>
          <w:szCs w:val="21"/>
          <w:highlight w:val="none"/>
        </w:rPr>
        <w:t>1</w:t>
      </w:r>
      <w:r>
        <w:rPr>
          <w:rFonts w:ascii="Times New Roman" w:hAnsi="Times New Roman" w:eastAsiaTheme="minorEastAsia"/>
          <w:szCs w:val="21"/>
          <w:highlight w:val="none"/>
        </w:rPr>
        <w:t xml:space="preserve"> 竖向力作用下</w:t>
      </w:r>
    </w:p>
    <w:p w14:paraId="64322F41">
      <w:pPr>
        <w:spacing w:line="312" w:lineRule="exact"/>
        <w:ind w:firstLine="621" w:firstLineChars="296"/>
        <w:rPr>
          <w:rFonts w:ascii="Times New Roman" w:hAnsi="Times New Roman" w:eastAsiaTheme="minorEastAsia"/>
          <w:szCs w:val="21"/>
          <w:highlight w:val="none"/>
        </w:rPr>
      </w:pPr>
      <w:r>
        <w:rPr>
          <w:rFonts w:ascii="Times New Roman" w:hAnsi="Times New Roman" w:eastAsiaTheme="minorEastAsia"/>
          <w:szCs w:val="21"/>
          <w:highlight w:val="none"/>
        </w:rPr>
        <w:t>轴心竖向力作用下，应满足式（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eastAsia" w:ascii="Times New Roman" w:hAnsi="Times New Roman" w:eastAsiaTheme="minorEastAsia"/>
          <w:szCs w:val="21"/>
          <w:highlight w:val="none"/>
          <w:lang w:val="en-US" w:eastAsia="zh-CN"/>
        </w:rPr>
        <w:t>1</w:t>
      </w:r>
      <w:r>
        <w:rPr>
          <w:rFonts w:ascii="Times New Roman" w:hAnsi="Times New Roman" w:eastAsiaTheme="minorEastAsia"/>
          <w:szCs w:val="21"/>
          <w:highlight w:val="none"/>
        </w:rPr>
        <w:t>-1）的要求：</w:t>
      </w:r>
    </w:p>
    <w:p w14:paraId="55BA27EC">
      <w:pPr>
        <w:wordWrap w:val="0"/>
        <w:jc w:val="right"/>
        <w:rPr>
          <w:rFonts w:ascii="Times New Roman" w:hAnsi="Times New Roman" w:eastAsiaTheme="minorEastAsia"/>
          <w:szCs w:val="21"/>
          <w:highlight w:val="none"/>
        </w:rPr>
      </w:pPr>
      <w:r>
        <w:rPr>
          <w:rFonts w:ascii="Times New Roman" w:hAnsi="Times New Roman" w:eastAsiaTheme="minorEastAsia"/>
          <w:position w:val="-24"/>
          <w:szCs w:val="21"/>
          <w:highlight w:val="none"/>
        </w:rPr>
        <w:object>
          <v:shape id="_x0000_i1066" o:spt="75" type="#_x0000_t75" style="height:30pt;width:69.45pt;" o:ole="t" filled="f" o:preferrelative="t" stroked="f" coordsize="21600,21600">
            <v:path/>
            <v:fill on="f" focussize="0,0"/>
            <v:stroke on="f"/>
            <v:imagedata r:id="rId92" o:title=""/>
            <o:lock v:ext="edit" aspectratio="t"/>
            <w10:wrap type="none"/>
            <w10:anchorlock/>
          </v:shape>
          <o:OLEObject Type="Embed" ProgID="Equation.3" ShapeID="_x0000_i1066" DrawAspect="Content" ObjectID="_1468075766" r:id="rId91">
            <o:LockedField>false</o:LockedField>
          </o:OLEObject>
        </w:objec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 xml:space="preserve">     </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.3.1-1）</w:t>
      </w:r>
    </w:p>
    <w:p w14:paraId="5F158A02">
      <w:pPr>
        <w:ind w:firstLine="621" w:firstLineChars="296"/>
        <w:rPr>
          <w:rFonts w:ascii="Times New Roman" w:hAnsi="Times New Roman" w:eastAsiaTheme="minorEastAsia"/>
          <w:szCs w:val="21"/>
          <w:highlight w:val="none"/>
        </w:rPr>
      </w:pPr>
      <w:r>
        <w:rPr>
          <w:rFonts w:ascii="Times New Roman" w:hAnsi="Times New Roman" w:eastAsiaTheme="minorEastAsia"/>
          <w:szCs w:val="21"/>
          <w:highlight w:val="none"/>
        </w:rPr>
        <w:t>偏心竖向力作用下，除满足</w:t>
      </w:r>
      <w:r>
        <w:rPr>
          <w:rFonts w:hint="default" w:ascii="Times New Roman" w:hAnsi="Times New Roman" w:eastAsiaTheme="minorEastAsia"/>
          <w:szCs w:val="21"/>
          <w:highlight w:val="none"/>
        </w:rPr>
        <w:t>上</w:t>
      </w:r>
      <w:r>
        <w:rPr>
          <w:rFonts w:ascii="Times New Roman" w:hAnsi="Times New Roman" w:eastAsiaTheme="minorEastAsia"/>
          <w:szCs w:val="21"/>
          <w:highlight w:val="none"/>
        </w:rPr>
        <w:t>式外，尚应满足式（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eastAsia" w:ascii="Times New Roman" w:hAnsi="Times New Roman" w:eastAsiaTheme="minorEastAsia"/>
          <w:szCs w:val="21"/>
          <w:highlight w:val="none"/>
          <w:lang w:val="en-US" w:eastAsia="zh-CN"/>
        </w:rPr>
        <w:t>1</w:t>
      </w:r>
      <w:r>
        <w:rPr>
          <w:rFonts w:ascii="Times New Roman" w:hAnsi="Times New Roman" w:eastAsiaTheme="minorEastAsia"/>
          <w:szCs w:val="21"/>
          <w:highlight w:val="none"/>
        </w:rPr>
        <w:t>-</w:t>
      </w:r>
      <w:r>
        <w:rPr>
          <w:rFonts w:hint="default" w:ascii="Times New Roman" w:hAnsi="Times New Roman" w:eastAsiaTheme="minorEastAsia"/>
          <w:szCs w:val="21"/>
          <w:highlight w:val="none"/>
          <w:lang w:val="en-US" w:eastAsia="zh-CN"/>
        </w:rPr>
        <w:t>2</w:t>
      </w:r>
      <w:r>
        <w:rPr>
          <w:rFonts w:ascii="Times New Roman" w:hAnsi="Times New Roman" w:eastAsiaTheme="minorEastAsia"/>
          <w:szCs w:val="21"/>
          <w:highlight w:val="none"/>
        </w:rPr>
        <w:t>）的要求：</w:t>
      </w:r>
    </w:p>
    <w:p w14:paraId="04AFBFDE">
      <w:pPr>
        <w:ind w:firstLine="621" w:firstLineChars="296"/>
        <w:jc w:val="right"/>
        <w:rPr>
          <w:rFonts w:ascii="Times New Roman" w:hAnsi="Times New Roman" w:eastAsiaTheme="minorEastAsia"/>
          <w:szCs w:val="21"/>
          <w:highlight w:val="none"/>
        </w:rPr>
      </w:pPr>
      <w:r>
        <w:rPr>
          <w:rFonts w:ascii="Times New Roman" w:hAnsi="Times New Roman" w:eastAsiaTheme="minorEastAsia"/>
          <w:position w:val="-32"/>
          <w:szCs w:val="21"/>
          <w:highlight w:val="none"/>
        </w:rPr>
        <w:object>
          <v:shape id="_x0000_i1067" o:spt="75" type="#_x0000_t75" style="height:35.85pt;width:157.4pt;" o:ole="t" filled="f" o:preferrelative="t" stroked="f" coordsize="21600,21600">
            <v:path/>
            <v:fill on="f" focussize="0,0"/>
            <v:stroke on="f"/>
            <v:imagedata r:id="rId94" o:title=""/>
            <o:lock v:ext="edit" aspectratio="t"/>
            <w10:wrap type="none"/>
            <w10:anchorlock/>
          </v:shape>
          <o:OLEObject Type="Embed" ProgID="Equation.3" ShapeID="_x0000_i1067" DrawAspect="Content" ObjectID="_1468075767" r:id="rId93">
            <o:LockedField>false</o:LockedField>
          </o:OLEObject>
        </w:objec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.3.1-</w:t>
      </w:r>
      <w:r>
        <w:rPr>
          <w:rFonts w:hint="default" w:ascii="Times New Roman" w:hAnsi="Times New Roman" w:eastAsiaTheme="minorEastAsia"/>
          <w:szCs w:val="21"/>
          <w:highlight w:val="none"/>
        </w:rPr>
        <w:t>2</w:t>
      </w:r>
      <w:r>
        <w:rPr>
          <w:rFonts w:ascii="Times New Roman" w:hAnsi="Times New Roman" w:eastAsiaTheme="minorEastAsia"/>
          <w:szCs w:val="21"/>
          <w:highlight w:val="none"/>
        </w:rPr>
        <w:t>）</w:t>
      </w:r>
    </w:p>
    <w:p w14:paraId="4817DEF8">
      <w:pPr>
        <w:spacing w:line="312" w:lineRule="exact"/>
        <w:ind w:firstLine="422" w:firstLineChars="200"/>
        <w:rPr>
          <w:rFonts w:hint="eastAsia" w:ascii="Times New Roman" w:hAnsi="Times New Roman" w:eastAsiaTheme="minorEastAsia"/>
          <w:szCs w:val="21"/>
          <w:highlight w:val="none"/>
          <w:lang w:eastAsia="zh-CN"/>
        </w:rPr>
      </w:pPr>
      <w:r>
        <w:rPr>
          <w:rFonts w:ascii="Times New Roman" w:hAnsi="Times New Roman" w:eastAsia="黑体"/>
          <w:b/>
          <w:bCs/>
          <w:kern w:val="0"/>
          <w:szCs w:val="21"/>
          <w:highlight w:val="none"/>
        </w:rPr>
        <w:t>2</w:t>
      </w:r>
      <w:r>
        <w:rPr>
          <w:rFonts w:ascii="Times New Roman" w:hAnsi="Times New Roman" w:eastAsiaTheme="minorEastAsia"/>
          <w:szCs w:val="21"/>
          <w:highlight w:val="none"/>
        </w:rPr>
        <w:t xml:space="preserve"> 水平力作用下</w:t>
      </w:r>
      <w:r>
        <w:rPr>
          <w:rFonts w:hint="eastAsia" w:ascii="Times New Roman" w:hAnsi="Times New Roman" w:eastAsiaTheme="minorEastAsia"/>
          <w:szCs w:val="21"/>
          <w:highlight w:val="none"/>
          <w:lang w:eastAsia="zh-CN"/>
        </w:rPr>
        <w:t>，</w:t>
      </w:r>
      <w:r>
        <w:rPr>
          <w:rFonts w:ascii="Times New Roman" w:hAnsi="Times New Roman" w:eastAsiaTheme="minorEastAsia"/>
          <w:szCs w:val="21"/>
          <w:highlight w:val="none"/>
        </w:rPr>
        <w:t>应满足式（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eastAsia" w:ascii="Times New Roman" w:hAnsi="Times New Roman" w:eastAsiaTheme="minorEastAsia"/>
          <w:szCs w:val="21"/>
          <w:highlight w:val="none"/>
          <w:lang w:val="en-US" w:eastAsia="zh-CN"/>
        </w:rPr>
        <w:t>1</w:t>
      </w:r>
      <w:r>
        <w:rPr>
          <w:rFonts w:ascii="Times New Roman" w:hAnsi="Times New Roman" w:eastAsiaTheme="minorEastAsia"/>
          <w:szCs w:val="21"/>
          <w:highlight w:val="none"/>
        </w:rPr>
        <w:t>-</w:t>
      </w:r>
      <w:r>
        <w:rPr>
          <w:rFonts w:hint="default" w:ascii="Times New Roman" w:hAnsi="Times New Roman" w:eastAsiaTheme="minorEastAsia"/>
          <w:szCs w:val="21"/>
          <w:highlight w:val="none"/>
        </w:rPr>
        <w:t>3</w:t>
      </w:r>
      <w:r>
        <w:rPr>
          <w:rFonts w:ascii="Times New Roman" w:hAnsi="Times New Roman" w:eastAsiaTheme="minorEastAsia"/>
          <w:szCs w:val="21"/>
          <w:highlight w:val="none"/>
        </w:rPr>
        <w:t>）的要求：</w:t>
      </w:r>
    </w:p>
    <w:p w14:paraId="3989634E">
      <w:pPr>
        <w:jc w:val="right"/>
        <w:rPr>
          <w:rFonts w:ascii="Times New Roman" w:hAnsi="Times New Roman" w:eastAsiaTheme="minorEastAsia"/>
          <w:szCs w:val="21"/>
          <w:highlight w:val="none"/>
        </w:rPr>
      </w:pPr>
      <w:r>
        <w:rPr>
          <w:rFonts w:ascii="Times New Roman" w:hAnsi="Times New Roman" w:eastAsiaTheme="minorEastAsia"/>
          <w:szCs w:val="21"/>
          <w:highlight w:val="none"/>
        </w:rPr>
        <w:t xml:space="preserve">    </w:t>
      </w:r>
      <w:r>
        <w:rPr>
          <w:rFonts w:ascii="Times New Roman" w:hAnsi="Times New Roman" w:eastAsiaTheme="minorEastAsia"/>
          <w:position w:val="-24"/>
          <w:szCs w:val="21"/>
          <w:highlight w:val="none"/>
        </w:rPr>
        <w:object>
          <v:shape id="_x0000_i1068" o:spt="75" type="#_x0000_t75" style="height:30pt;width:51.1pt;" o:ole="t" filled="f" o:preferrelative="t" stroked="f" coordsize="21600,21600">
            <v:path/>
            <v:fill on="f" focussize="0,0"/>
            <v:stroke on="f"/>
            <v:imagedata r:id="rId96" o:title=""/>
            <o:lock v:ext="edit" aspectratio="t"/>
            <w10:wrap type="none"/>
            <w10:anchorlock/>
          </v:shape>
          <o:OLEObject Type="Embed" ProgID="Equation.3" ShapeID="_x0000_i1068" DrawAspect="Content" ObjectID="_1468075768" r:id="rId95">
            <o:LockedField>false</o:LockedField>
          </o:OLEObject>
        </w:objec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.3.1-</w:t>
      </w:r>
      <w:r>
        <w:rPr>
          <w:rFonts w:hint="default" w:ascii="Times New Roman" w:hAnsi="Times New Roman" w:eastAsiaTheme="minorEastAsia"/>
          <w:szCs w:val="21"/>
          <w:highlight w:val="none"/>
        </w:rPr>
        <w:t>3</w:t>
      </w:r>
      <w:r>
        <w:rPr>
          <w:rFonts w:ascii="Times New Roman" w:hAnsi="Times New Roman" w:eastAsiaTheme="minorEastAsia"/>
          <w:szCs w:val="21"/>
          <w:highlight w:val="none"/>
        </w:rPr>
        <w:t>）</w:t>
      </w:r>
    </w:p>
    <w:p w14:paraId="35B2DE0F">
      <w:pPr>
        <w:spacing w:line="352" w:lineRule="exact"/>
        <w:ind w:left="1575" w:hanging="1575" w:hangingChars="750"/>
        <w:rPr>
          <w:rFonts w:ascii="Times New Roman" w:hAnsi="Times New Roman" w:eastAsiaTheme="minorEastAsia"/>
          <w:szCs w:val="21"/>
          <w:highlight w:val="none"/>
        </w:rPr>
      </w:pPr>
      <w:r>
        <w:rPr>
          <w:rFonts w:ascii="Times New Roman" w:hAnsi="Times New Roman" w:eastAsiaTheme="minorEastAsia"/>
          <w:szCs w:val="21"/>
          <w:highlight w:val="none"/>
        </w:rPr>
        <w:t>式中：</w:t>
      </w:r>
      <w:r>
        <w:rPr>
          <w:rFonts w:ascii="Times New Roman" w:hAnsi="Times New Roman" w:eastAsiaTheme="minorEastAsia"/>
          <w:position w:val="-12"/>
          <w:szCs w:val="21"/>
          <w:highlight w:val="none"/>
        </w:rPr>
        <w:object>
          <v:shape id="_x0000_i1069" o:spt="75" type="#_x0000_t75" style="height:18.45pt;width:15pt;" o:ole="t" filled="f" o:preferrelative="t" stroked="f" coordsize="21600,21600">
            <v:path/>
            <v:fill on="f" focussize="0,0"/>
            <v:stroke on="f"/>
            <v:imagedata r:id="rId98" o:title=""/>
            <o:lock v:ext="edit" aspectratio="t"/>
            <w10:wrap type="none"/>
            <w10:anchorlock/>
          </v:shape>
          <o:OLEObject Type="Embed" ProgID="Equation.3" ShapeID="_x0000_i1069" DrawAspect="Content" ObjectID="_1468075769" r:id="rId97">
            <o:LockedField>false</o:LockedField>
          </o:OLEObject>
        </w:object>
      </w:r>
      <w:r>
        <w:rPr>
          <w:rFonts w:ascii="Times New Roman" w:hAnsi="Times New Roman" w:eastAsiaTheme="minorEastAsia"/>
          <w:w w:val="120"/>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default" w:ascii="Times New Roman" w:hAnsi="Times New Roman" w:cs="Times New Roman" w:eastAsiaTheme="minorEastAsia"/>
          <w:szCs w:val="21"/>
          <w:highlight w:val="none"/>
        </w:rPr>
        <w:t>按荷载效应标准组合计算的作用于承台顶面的竖向力</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37E9B136">
      <w:pPr>
        <w:spacing w:line="352" w:lineRule="exact"/>
        <w:ind w:left="1575" w:leftChars="300" w:hanging="945" w:hangingChars="450"/>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70" o:spt="75" type="#_x0000_t75" style="height:18.45pt;width:15pt;" o:ole="t" filled="f" o:preferrelative="t" stroked="f" coordsize="21600,21600">
            <v:path/>
            <v:fill on="f" focussize="0,0"/>
            <v:stroke on="f" joinstyle="miter"/>
            <v:imagedata r:id="rId100" o:title=""/>
            <o:lock v:ext="edit" aspectratio="t"/>
            <w10:wrap type="none"/>
            <w10:anchorlock/>
          </v:shape>
          <o:OLEObject Type="Embed" ProgID="Equation.3" ShapeID="_x0000_i1070" DrawAspect="Content" ObjectID="_1468075770" r:id="rId99">
            <o:LockedField>false</o:LockedField>
          </o:OLEObject>
        </w:object>
      </w:r>
      <w:r>
        <w:rPr>
          <w:rFonts w:ascii="Times New Roman" w:hAnsi="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default" w:ascii="Times New Roman" w:hAnsi="Times New Roman" w:cs="Times New Roman" w:eastAsiaTheme="minorEastAsia"/>
          <w:szCs w:val="21"/>
          <w:highlight w:val="none"/>
        </w:rPr>
        <w:t>桩基承台和承台上土自重标准值</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1422199A">
      <w:pPr>
        <w:spacing w:line="352" w:lineRule="exact"/>
        <w:ind w:left="1575" w:leftChars="300" w:hanging="945" w:hangingChars="450"/>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71" o:spt="75" type="#_x0000_t75" style="height:18.45pt;width:18.45pt;" o:ole="t" filled="f" o:preferrelative="t" stroked="f" coordsize="21600,21600">
            <v:path/>
            <v:fill on="f" focussize="0,0"/>
            <v:stroke on="f" joinstyle="miter"/>
            <v:imagedata r:id="rId102" o:title=""/>
            <o:lock v:ext="edit" aspectratio="t"/>
            <w10:wrap type="none"/>
            <w10:anchorlock/>
          </v:shape>
          <o:OLEObject Type="Embed" ProgID="Equation.3" ShapeID="_x0000_i1071" DrawAspect="Content" ObjectID="_1468075771" r:id="rId101">
            <o:LockedField>false</o:LockedField>
          </o:OLEObject>
        </w:object>
      </w:r>
      <w:r>
        <w:rPr>
          <w:rFonts w:ascii="Times New Roman" w:hAnsi="Times New Roman" w:eastAsiaTheme="minorEastAsia"/>
          <w:w w:val="70"/>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default" w:ascii="Times New Roman" w:hAnsi="Times New Roman" w:cs="Times New Roman" w:eastAsiaTheme="minorEastAsia"/>
          <w:szCs w:val="21"/>
          <w:highlight w:val="none"/>
        </w:rPr>
        <w:t>荷载效应标准组合轴心竖向力作用下任一单桩的竖向力</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76541BBE">
      <w:pPr>
        <w:spacing w:line="352" w:lineRule="exact"/>
        <w:ind w:firstLine="630" w:firstLineChars="300"/>
        <w:rPr>
          <w:rFonts w:hint="eastAsia" w:ascii="Times New Roman" w:hAnsi="Times New Roman" w:eastAsiaTheme="minorEastAsia"/>
          <w:szCs w:val="21"/>
          <w:highlight w:val="none"/>
          <w:lang w:eastAsia="zh-CN"/>
        </w:rPr>
      </w:pPr>
      <w:r>
        <w:rPr>
          <w:rFonts w:ascii="Times New Roman" w:hAnsi="Times New Roman" w:eastAsiaTheme="minorEastAsia"/>
          <w:position w:val="-6"/>
          <w:szCs w:val="21"/>
          <w:highlight w:val="none"/>
        </w:rPr>
        <w:object>
          <v:shape id="_x0000_i1072" o:spt="75" type="#_x0000_t75" style="height:12.45pt;width:9.85pt;" o:ole="t" filled="f" o:preferrelative="t" stroked="f" coordsize="21600,21600">
            <v:path/>
            <v:fill on="f" focussize="0,0"/>
            <v:stroke on="f" joinstyle="miter"/>
            <v:imagedata r:id="rId104" o:title=""/>
            <o:lock v:ext="edit" aspectratio="t"/>
            <w10:wrap type="none"/>
            <w10:anchorlock/>
          </v:shape>
          <o:OLEObject Type="Embed" ProgID="Equation.3" ShapeID="_x0000_i1072" DrawAspect="Content" ObjectID="_1468075772" r:id="rId103">
            <o:LockedField>false</o:LockedField>
          </o:OLEObject>
        </w:object>
      </w:r>
      <w:r>
        <w:rPr>
          <w:rFonts w:ascii="Times New Roman" w:hAnsi="Times New Roman" w:eastAsiaTheme="minorEastAsia"/>
          <w:szCs w:val="21"/>
          <w:highlight w:val="none"/>
        </w:rPr>
        <w:t xml:space="preserve"> </w:t>
      </w:r>
      <w:r>
        <w:rPr>
          <w:rFonts w:ascii="Times New Roman" w:hAnsi="Times New Roman" w:eastAsiaTheme="minorEastAsia"/>
          <w:w w:val="120"/>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群桩基础</w:t>
      </w:r>
      <w:r>
        <w:rPr>
          <w:rFonts w:ascii="Times New Roman" w:hAnsi="Times New Roman" w:eastAsiaTheme="minorEastAsia"/>
          <w:szCs w:val="21"/>
          <w:highlight w:val="none"/>
        </w:rPr>
        <w:t>中的桩数</w:t>
      </w:r>
      <w:r>
        <w:rPr>
          <w:rFonts w:hint="eastAsia" w:ascii="Times New Roman" w:hAnsi="Times New Roman" w:eastAsiaTheme="minorEastAsia"/>
          <w:szCs w:val="21"/>
          <w:highlight w:val="none"/>
          <w:lang w:eastAsia="zh-CN"/>
        </w:rPr>
        <w:t>；</w:t>
      </w:r>
    </w:p>
    <w:p w14:paraId="66D31480">
      <w:pPr>
        <w:spacing w:line="352" w:lineRule="exact"/>
        <w:ind w:left="1575" w:leftChars="300" w:hanging="945" w:hangingChars="450"/>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73" o:spt="75" type="#_x0000_t75" style="height:18.45pt;width:19.7pt;" o:ole="t" filled="f" o:preferrelative="t" stroked="f" coordsize="21600,21600">
            <v:path/>
            <v:fill on="f" focussize="0,0"/>
            <v:stroke on="f" joinstyle="miter"/>
            <v:imagedata r:id="rId106" o:title=""/>
            <o:lock v:ext="edit" aspectratio="t"/>
            <w10:wrap type="none"/>
            <w10:anchorlock/>
          </v:shape>
          <o:OLEObject Type="Embed" ProgID="Equation.3" ShapeID="_x0000_i1073" DrawAspect="Content" ObjectID="_1468075773" r:id="rId105">
            <o:LockedField>false</o:LockedField>
          </o:OLEObject>
        </w:object>
      </w:r>
      <w:r>
        <w:rPr>
          <w:rFonts w:ascii="Times New Roman" w:hAnsi="Times New Roman" w:eastAsiaTheme="minorEastAsia"/>
          <w:w w:val="40"/>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default" w:ascii="Times New Roman" w:hAnsi="Times New Roman" w:cs="Times New Roman" w:eastAsiaTheme="minorEastAsia"/>
          <w:szCs w:val="21"/>
          <w:highlight w:val="none"/>
        </w:rPr>
        <w:t>荷载效应标准组合偏心竖向力作用下第</w:t>
      </w:r>
      <w:r>
        <w:rPr>
          <w:rFonts w:hint="default" w:ascii="Times New Roman" w:hAnsi="Times New Roman" w:cs="Times New Roman" w:eastAsiaTheme="minorEastAsia"/>
          <w:position w:val="-6"/>
          <w:szCs w:val="21"/>
          <w:highlight w:val="none"/>
        </w:rPr>
        <w:object>
          <v:shape id="_x0000_i1074" o:spt="75" type="#_x0000_t75" style="height:12.85pt;width:7.7pt;" o:ole="t" filled="f" o:preferrelative="t" stroked="f" coordsize="21600,21600">
            <v:path/>
            <v:fill on="f" focussize="0,0"/>
            <v:stroke on="f" joinstyle="miter"/>
            <v:imagedata r:id="rId18" o:title=""/>
            <o:lock v:ext="edit" aspectratio="t"/>
            <w10:wrap type="none"/>
            <w10:anchorlock/>
          </v:shape>
          <o:OLEObject Type="Embed" ProgID="Equation.3" ShapeID="_x0000_i1074" DrawAspect="Content" ObjectID="_1468075774" r:id="rId107">
            <o:LockedField>false</o:LockedField>
          </o:OLEObject>
        </w:object>
      </w:r>
      <w:r>
        <w:rPr>
          <w:rFonts w:hint="default" w:ascii="Times New Roman" w:hAnsi="Times New Roman" w:cs="Times New Roman" w:eastAsiaTheme="minorEastAsia"/>
          <w:szCs w:val="21"/>
          <w:highlight w:val="none"/>
        </w:rPr>
        <w:t>基桩的竖向力</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44A6E358">
      <w:pPr>
        <w:spacing w:line="452" w:lineRule="exact"/>
        <w:ind w:left="1470" w:leftChars="200" w:hanging="1050" w:hangingChars="500"/>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75" o:spt="75" type="#_x0000_t75" style="height:18.45pt;width:23.55pt;" o:ole="t" filled="f" o:preferrelative="t" stroked="f" coordsize="21600,21600">
            <v:path/>
            <v:fill on="f" focussize="0,0"/>
            <v:stroke on="f" joinstyle="miter"/>
            <v:imagedata r:id="rId109" o:title=""/>
            <o:lock v:ext="edit" aspectratio="t"/>
            <w10:wrap type="none"/>
            <w10:anchorlock/>
          </v:shape>
          <o:OLEObject Type="Embed" ProgID="Equation.3" ShapeID="_x0000_i1075" DrawAspect="Content" ObjectID="_1468075775" r:id="rId108">
            <o:LockedField>false</o:LockedField>
          </o:OLEObject>
        </w:object>
      </w:r>
      <w:r>
        <w:rPr>
          <w:rFonts w:ascii="Times New Roman" w:hAnsi="Times New Roman" w:eastAsiaTheme="minorEastAsia"/>
          <w:szCs w:val="21"/>
          <w:highlight w:val="none"/>
        </w:rPr>
        <w:t>、</w:t>
      </w:r>
      <w:r>
        <w:rPr>
          <w:rFonts w:ascii="Times New Roman" w:hAnsi="Times New Roman" w:eastAsiaTheme="minorEastAsia"/>
          <w:position w:val="-14"/>
          <w:szCs w:val="21"/>
          <w:highlight w:val="none"/>
        </w:rPr>
        <w:object>
          <v:shape id="_x0000_i1076" o:spt="75" type="#_x0000_t75" style="height:19.7pt;width:23.55pt;" o:ole="t" filled="f" o:preferrelative="t" stroked="f" coordsize="21600,21600">
            <v:path/>
            <v:fill on="f" focussize="0,0"/>
            <v:stroke on="f"/>
            <v:imagedata r:id="rId111" o:title=""/>
            <o:lock v:ext="edit" aspectratio="t"/>
            <w10:wrap type="none"/>
            <w10:anchorlock/>
          </v:shape>
          <o:OLEObject Type="Embed" ProgID="Equation.3" ShapeID="_x0000_i1076" DrawAspect="Content" ObjectID="_1468075776" r:id="rId110">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default" w:ascii="Times New Roman" w:hAnsi="Times New Roman" w:cs="Times New Roman" w:eastAsiaTheme="minorEastAsia"/>
          <w:szCs w:val="21"/>
          <w:highlight w:val="none"/>
        </w:rPr>
        <w:t>按荷载效应标准组合计算的作用于承台底面的外力，绕通过桩群形心的</w:t>
      </w:r>
      <w:r>
        <w:rPr>
          <w:rFonts w:hint="default" w:ascii="Times New Roman" w:hAnsi="Times New Roman" w:cs="Times New Roman" w:eastAsiaTheme="minorEastAsia"/>
          <w:position w:val="-6"/>
          <w:szCs w:val="21"/>
          <w:highlight w:val="none"/>
        </w:rPr>
        <w:object>
          <v:shape id="_x0000_i1077" o:spt="75" type="#_x0000_t75" style="height:10.9pt;width:11.15pt;" o:ole="t" filled="f" o:preferrelative="t" stroked="f" coordsize="21600,21600">
            <v:path/>
            <v:fill on="f" focussize="0,0"/>
            <v:stroke on="f"/>
            <v:imagedata r:id="rId24" o:title=""/>
            <o:lock v:ext="edit" aspectratio="t"/>
            <w10:wrap type="none"/>
            <w10:anchorlock/>
          </v:shape>
          <o:OLEObject Type="Embed" ProgID="Equation.3" ShapeID="_x0000_i1077" DrawAspect="Content" ObjectID="_1468075777" r:id="rId112">
            <o:LockedField>false</o:LockedField>
          </o:OLEObject>
        </w:object>
      </w:r>
      <w:r>
        <w:rPr>
          <w:rFonts w:hint="default" w:ascii="Times New Roman" w:hAnsi="Times New Roman" w:cs="Times New Roman" w:eastAsiaTheme="minorEastAsia"/>
          <w:szCs w:val="21"/>
          <w:highlight w:val="none"/>
        </w:rPr>
        <w:t>、</w:t>
      </w:r>
      <w:r>
        <w:rPr>
          <w:rFonts w:hint="default" w:ascii="Times New Roman" w:hAnsi="Times New Roman" w:cs="Times New Roman" w:eastAsiaTheme="minorEastAsia"/>
          <w:position w:val="-10"/>
          <w:szCs w:val="21"/>
          <w:highlight w:val="none"/>
        </w:rPr>
        <w:object>
          <v:shape id="_x0000_i1078" o:spt="75" type="#_x0000_t75" style="height:12.9pt;width:12.3pt;" o:ole="t" filled="f" o:preferrelative="t" stroked="f" coordsize="21600,21600">
            <v:path/>
            <v:fill on="f" focussize="0,0"/>
            <v:stroke on="f"/>
            <v:imagedata r:id="rId26" o:title=""/>
            <o:lock v:ext="edit" aspectratio="t"/>
            <w10:wrap type="none"/>
            <w10:anchorlock/>
          </v:shape>
          <o:OLEObject Type="Embed" ProgID="Equation.3" ShapeID="_x0000_i1078" DrawAspect="Content" ObjectID="_1468075778" r:id="rId113">
            <o:LockedField>false</o:LockedField>
          </o:OLEObject>
        </w:object>
      </w:r>
      <w:r>
        <w:rPr>
          <w:rFonts w:hint="default" w:ascii="Times New Roman" w:hAnsi="Times New Roman" w:cs="Times New Roman" w:eastAsiaTheme="minorEastAsia"/>
          <w:szCs w:val="21"/>
          <w:highlight w:val="none"/>
        </w:rPr>
        <w:t>主轴的力矩</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ascii="Times New Roman" w:hAnsi="Times New Roman" w:eastAsia="宋体" w:cs="Times New Roman"/>
          <w:bCs/>
          <w:w w:val="95"/>
          <w:szCs w:val="21"/>
          <w:highlight w:val="none"/>
        </w:rPr>
        <w:sym w:font="Symbol" w:char="F0D7"/>
      </w:r>
      <w:r>
        <w:rPr>
          <w:rFonts w:hint="eastAsia" w:ascii="Times New Roman" w:hAnsi="Times New Roman" w:cs="Times New Roman"/>
          <w:bCs/>
          <w:szCs w:val="18"/>
          <w:highlight w:val="none"/>
          <w:lang w:val="en-US" w:eastAsia="zh-CN"/>
        </w:rPr>
        <w:t>m</w:t>
      </w:r>
      <w:r>
        <w:rPr>
          <w:rFonts w:hint="eastAsia"/>
          <w:bCs/>
          <w:szCs w:val="18"/>
          <w:highlight w:val="none"/>
          <w:lang w:eastAsia="zh-CN"/>
        </w:rPr>
        <w:t>）</w:t>
      </w:r>
      <w:r>
        <w:rPr>
          <w:rFonts w:ascii="Times New Roman" w:hAnsi="Times New Roman" w:eastAsiaTheme="minorEastAsia"/>
          <w:szCs w:val="21"/>
          <w:highlight w:val="none"/>
        </w:rPr>
        <w:t>；</w:t>
      </w:r>
    </w:p>
    <w:p w14:paraId="3791FFED">
      <w:pPr>
        <w:spacing w:line="352" w:lineRule="exact"/>
        <w:ind w:firstLine="630" w:firstLineChars="300"/>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79" o:spt="75" type="#_x0000_t75" style="height:18.45pt;width:12.45pt;" o:ole="t" filled="f" o:preferrelative="t" stroked="f" coordsize="21600,21600">
            <v:path/>
            <v:fill on="f" focussize="0,0"/>
            <v:stroke on="f" joinstyle="miter"/>
            <v:imagedata r:id="rId115" o:title=""/>
            <o:lock v:ext="edit" aspectratio="t"/>
            <w10:wrap type="none"/>
            <w10:anchorlock/>
          </v:shape>
          <o:OLEObject Type="Embed" ProgID="Equation.3" ShapeID="_x0000_i1079" DrawAspect="Content" ObjectID="_1468075779" r:id="rId114">
            <o:LockedField>false</o:LockedField>
          </o:OLEObject>
        </w:object>
      </w:r>
      <w:r>
        <w:rPr>
          <w:rFonts w:ascii="Times New Roman" w:hAnsi="Times New Roman" w:eastAsiaTheme="minorEastAsia"/>
          <w:szCs w:val="21"/>
          <w:highlight w:val="none"/>
        </w:rPr>
        <w:t>、</w:t>
      </w:r>
      <w:r>
        <w:rPr>
          <w:rFonts w:ascii="Times New Roman" w:hAnsi="Times New Roman" w:eastAsiaTheme="minorEastAsia"/>
          <w:position w:val="-14"/>
          <w:szCs w:val="21"/>
          <w:highlight w:val="none"/>
        </w:rPr>
        <w:object>
          <v:shape id="_x0000_i1080" o:spt="75" type="#_x0000_t75" style="height:19.7pt;width:12.45pt;" o:ole="t" filled="f" o:preferrelative="t" stroked="f" coordsize="21600,21600">
            <v:path/>
            <v:fill on="f" focussize="0,0"/>
            <v:stroke on="f" joinstyle="miter"/>
            <v:imagedata r:id="rId117" o:title=""/>
            <o:lock v:ext="edit" aspectratio="t"/>
            <w10:wrap type="none"/>
            <w10:anchorlock/>
          </v:shape>
          <o:OLEObject Type="Embed" ProgID="Equation.3" ShapeID="_x0000_i1080" DrawAspect="Content" ObjectID="_1468075780" r:id="rId116">
            <o:LockedField>false</o:LockedField>
          </o:OLEObject>
        </w:object>
      </w:r>
      <w:r>
        <w:rPr>
          <w:rFonts w:ascii="Times New Roman" w:hAnsi="Times New Roman" w:eastAsiaTheme="minorEastAsia"/>
          <w:szCs w:val="21"/>
          <w:highlight w:val="none"/>
        </w:rPr>
        <w:t>、</w:t>
      </w:r>
      <w:r>
        <w:rPr>
          <w:rFonts w:ascii="Times New Roman" w:hAnsi="Times New Roman" w:eastAsiaTheme="minorEastAsia"/>
          <w:position w:val="-12"/>
          <w:szCs w:val="21"/>
          <w:highlight w:val="none"/>
        </w:rPr>
        <w:object>
          <v:shape id="_x0000_i1081" o:spt="75" type="#_x0000_t75" style="height:18.45pt;width:12.45pt;" o:ole="t" filled="f" o:preferrelative="t" stroked="f" coordsize="21600,21600">
            <v:path/>
            <v:fill on="f" focussize="0,0"/>
            <v:stroke on="f" joinstyle="miter"/>
            <v:imagedata r:id="rId119" o:title=""/>
            <o:lock v:ext="edit" aspectratio="t"/>
            <w10:wrap type="none"/>
            <w10:anchorlock/>
          </v:shape>
          <o:OLEObject Type="Embed" ProgID="Equation.3" ShapeID="_x0000_i1081" DrawAspect="Content" ObjectID="_1468075781" r:id="rId118">
            <o:LockedField>false</o:LockedField>
          </o:OLEObject>
        </w:object>
      </w:r>
      <w:r>
        <w:rPr>
          <w:rFonts w:ascii="Times New Roman" w:hAnsi="Times New Roman" w:eastAsiaTheme="minorEastAsia"/>
          <w:szCs w:val="21"/>
          <w:highlight w:val="none"/>
        </w:rPr>
        <w:t>、</w:t>
      </w:r>
      <w:r>
        <w:rPr>
          <w:rFonts w:ascii="Times New Roman" w:hAnsi="Times New Roman" w:eastAsiaTheme="minorEastAsia"/>
          <w:position w:val="-14"/>
          <w:szCs w:val="21"/>
          <w:highlight w:val="none"/>
        </w:rPr>
        <w:object>
          <v:shape id="_x0000_i1082" o:spt="75" type="#_x0000_t75" style="height:19.7pt;width:14.15pt;" o:ole="t" filled="f" o:preferrelative="t" stroked="f" coordsize="21600,21600">
            <v:path/>
            <v:fill on="f" focussize="0,0"/>
            <v:stroke on="f" joinstyle="miter"/>
            <v:imagedata r:id="rId121" o:title=""/>
            <o:lock v:ext="edit" aspectratio="t"/>
            <w10:wrap type="none"/>
            <w10:anchorlock/>
          </v:shape>
          <o:OLEObject Type="Embed" ProgID="Equation.3" ShapeID="_x0000_i1082" DrawAspect="Content" ObjectID="_1468075782" r:id="rId120">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第</w:t>
      </w:r>
      <w:r>
        <w:rPr>
          <w:rFonts w:ascii="Times New Roman" w:hAnsi="Times New Roman" w:eastAsiaTheme="minorEastAsia"/>
          <w:position w:val="-6"/>
          <w:szCs w:val="21"/>
          <w:highlight w:val="none"/>
        </w:rPr>
        <w:object>
          <v:shape id="_x0000_i1083" o:spt="75" type="#_x0000_t75" style="height:12.45pt;width:7.7pt;" o:ole="t" filled="f" o:preferrelative="t" stroked="f" coordsize="21600,21600">
            <v:path/>
            <v:fill on="f" focussize="0,0"/>
            <v:stroke on="f" joinstyle="miter"/>
            <v:imagedata r:id="rId123" o:title=""/>
            <o:lock v:ext="edit" aspectratio="t"/>
            <w10:wrap type="none"/>
            <w10:anchorlock/>
          </v:shape>
          <o:OLEObject Type="Embed" ProgID="Equation.3" ShapeID="_x0000_i1083" DrawAspect="Content" ObjectID="_1468075783" r:id="rId122">
            <o:LockedField>false</o:LockedField>
          </o:OLEObject>
        </w:object>
      </w:r>
      <w:r>
        <w:rPr>
          <w:rFonts w:ascii="Times New Roman" w:hAnsi="Times New Roman" w:eastAsiaTheme="minorEastAsia"/>
          <w:szCs w:val="21"/>
          <w:highlight w:val="none"/>
        </w:rPr>
        <w:t>、</w:t>
      </w:r>
      <w:r>
        <w:rPr>
          <w:rFonts w:ascii="Times New Roman" w:hAnsi="Times New Roman" w:eastAsiaTheme="minorEastAsia"/>
          <w:position w:val="-10"/>
          <w:szCs w:val="21"/>
          <w:highlight w:val="none"/>
        </w:rPr>
        <w:object>
          <v:shape id="_x0000_i1084" o:spt="75" type="#_x0000_t75" style="height:15.1pt;width:9.85pt;" o:ole="t" filled="f" o:preferrelative="t" stroked="f" coordsize="21600,21600">
            <v:path/>
            <v:fill on="f" focussize="0,0"/>
            <v:stroke on="f"/>
            <v:imagedata r:id="rId125" o:title=""/>
            <o:lock v:ext="edit" aspectratio="t"/>
            <w10:wrap type="none"/>
            <w10:anchorlock/>
          </v:shape>
          <o:OLEObject Type="Embed" ProgID="Equation.3" ShapeID="_x0000_i1084" DrawAspect="Content" ObjectID="_1468075784" r:id="rId124">
            <o:LockedField>false</o:LockedField>
          </o:OLEObject>
        </w:object>
      </w:r>
      <w:r>
        <w:rPr>
          <w:rFonts w:ascii="Times New Roman" w:hAnsi="Times New Roman" w:eastAsiaTheme="minorEastAsia"/>
          <w:szCs w:val="21"/>
          <w:highlight w:val="none"/>
        </w:rPr>
        <w:t>基桩至</w:t>
      </w:r>
      <w:r>
        <w:rPr>
          <w:rFonts w:ascii="Times New Roman" w:hAnsi="Times New Roman" w:eastAsiaTheme="minorEastAsia"/>
          <w:position w:val="-10"/>
          <w:szCs w:val="21"/>
          <w:highlight w:val="none"/>
        </w:rPr>
        <w:object>
          <v:shape id="_x0000_i1085" o:spt="75" type="#_x0000_t75" style="height:13.35pt;width:10.55pt;" o:ole="t" filled="f" o:preferrelative="t" stroked="f" coordsize="21600,21600">
            <v:path/>
            <v:fill on="f" focussize="0,0"/>
            <v:stroke on="f"/>
            <v:imagedata r:id="rId127" o:title=""/>
            <o:lock v:ext="edit" aspectratio="t"/>
            <w10:wrap type="none"/>
            <w10:anchorlock/>
          </v:shape>
          <o:OLEObject Type="Embed" ProgID="Equation.3" ShapeID="_x0000_i1085" DrawAspect="Content" ObjectID="_1468075785" r:id="rId126">
            <o:LockedField>false</o:LockedField>
          </o:OLEObject>
        </w:object>
      </w:r>
      <w:r>
        <w:rPr>
          <w:rFonts w:ascii="Times New Roman" w:hAnsi="Times New Roman" w:eastAsiaTheme="minorEastAsia"/>
          <w:szCs w:val="21"/>
          <w:highlight w:val="none"/>
        </w:rPr>
        <w:t>、</w:t>
      </w:r>
      <w:r>
        <w:rPr>
          <w:rFonts w:ascii="Times New Roman" w:hAnsi="Times New Roman" w:eastAsiaTheme="minorEastAsia"/>
          <w:position w:val="-6"/>
          <w:szCs w:val="21"/>
          <w:highlight w:val="none"/>
        </w:rPr>
        <w:object>
          <v:shape id="_x0000_i1086" o:spt="75" type="#_x0000_t75" style="height:11.35pt;width:10.45pt;" o:ole="t" filled="f" o:preferrelative="t" stroked="f" coordsize="21600,21600">
            <v:path/>
            <v:fill on="f" focussize="0,0"/>
            <v:stroke on="f"/>
            <v:imagedata r:id="rId129" o:title=""/>
            <o:lock v:ext="edit" aspectratio="t"/>
            <w10:wrap type="none"/>
            <w10:anchorlock/>
          </v:shape>
          <o:OLEObject Type="Embed" ProgID="Equation.3" ShapeID="_x0000_i1086" DrawAspect="Content" ObjectID="_1468075786" r:id="rId128">
            <o:LockedField>false</o:LockedField>
          </o:OLEObject>
        </w:object>
      </w:r>
      <w:r>
        <w:rPr>
          <w:rFonts w:ascii="Times New Roman" w:hAnsi="Times New Roman" w:eastAsiaTheme="minorEastAsia"/>
          <w:szCs w:val="21"/>
          <w:highlight w:val="none"/>
        </w:rPr>
        <w:t>轴的距离</w:t>
      </w:r>
      <w:r>
        <w:rPr>
          <w:rFonts w:hint="eastAsia"/>
          <w:bCs/>
          <w:szCs w:val="18"/>
          <w:highlight w:val="none"/>
          <w:lang w:eastAsia="zh-CN"/>
        </w:rPr>
        <w:t>（</w:t>
      </w:r>
      <w:r>
        <w:rPr>
          <w:rFonts w:hint="eastAsia" w:ascii="Times New Roman" w:hAnsi="Times New Roman" w:cs="Times New Roman"/>
          <w:bCs/>
          <w:szCs w:val="18"/>
          <w:highlight w:val="none"/>
          <w:lang w:val="en-US" w:eastAsia="zh-CN"/>
        </w:rPr>
        <w:t>m</w:t>
      </w:r>
      <w:r>
        <w:rPr>
          <w:rFonts w:hint="eastAsia"/>
          <w:bCs/>
          <w:szCs w:val="18"/>
          <w:highlight w:val="none"/>
          <w:lang w:eastAsia="zh-CN"/>
        </w:rPr>
        <w:t>）</w:t>
      </w:r>
      <w:r>
        <w:rPr>
          <w:rFonts w:ascii="Times New Roman" w:hAnsi="Times New Roman" w:eastAsiaTheme="minorEastAsia"/>
          <w:szCs w:val="21"/>
          <w:highlight w:val="none"/>
        </w:rPr>
        <w:t>；</w:t>
      </w:r>
    </w:p>
    <w:p w14:paraId="2E282E7A">
      <w:pPr>
        <w:spacing w:line="352" w:lineRule="exact"/>
        <w:ind w:left="1575" w:leftChars="300" w:hanging="945" w:hangingChars="450"/>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87" o:spt="75" type="#_x0000_t75" style="height:18.45pt;width:18.45pt;" o:ole="t" filled="f" o:preferrelative="t" stroked="f" coordsize="21600,21600">
            <v:path/>
            <v:fill on="f" focussize="0,0"/>
            <v:stroke on="f" joinstyle="miter"/>
            <v:imagedata r:id="rId131" o:title=""/>
            <o:lock v:ext="edit" aspectratio="t"/>
            <w10:wrap type="none"/>
            <w10:anchorlock/>
          </v:shape>
          <o:OLEObject Type="Embed" ProgID="Equation.3" ShapeID="_x0000_i1087" DrawAspect="Content" ObjectID="_1468075787" r:id="rId130">
            <o:LockedField>false</o:LockedField>
          </o:OLEObject>
        </w:object>
      </w:r>
      <w:r>
        <w:rPr>
          <w:rFonts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shd w:val="clear" w:color="auto" w:fill="FFFFFF"/>
        </w:rPr>
        <w:t xml:space="preserve"> </w:t>
      </w:r>
      <w:r>
        <w:rPr>
          <w:rFonts w:hint="default" w:ascii="Times New Roman" w:hAnsi="Times New Roman" w:cs="Times New Roman" w:eastAsiaTheme="minorEastAsia"/>
          <w:szCs w:val="21"/>
          <w:highlight w:val="none"/>
        </w:rPr>
        <w:t>按荷载效应标准组合计算的作用于承台底面的水平力</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3EA97B2B">
      <w:pPr>
        <w:spacing w:line="352" w:lineRule="exact"/>
        <w:ind w:left="1680" w:leftChars="300" w:hanging="1050" w:hangingChars="500"/>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88" o:spt="75" type="#_x0000_t75" style="height:18.45pt;width:19.7pt;" o:ole="t" filled="f" o:preferrelative="t" stroked="f" coordsize="21600,21600">
            <v:path/>
            <v:fill on="f" focussize="0,0"/>
            <v:stroke on="f" joinstyle="miter"/>
            <v:imagedata r:id="rId133" o:title=""/>
            <o:lock v:ext="edit" aspectratio="t"/>
            <w10:wrap type="none"/>
            <w10:anchorlock/>
          </v:shape>
          <o:OLEObject Type="Embed" ProgID="Equation.3" ShapeID="_x0000_i1088" DrawAspect="Content" ObjectID="_1468075788" r:id="rId132">
            <o:LockedField>false</o:LockedField>
          </o:OLEObject>
        </w:object>
      </w:r>
      <w:r>
        <w:rPr>
          <w:rFonts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shd w:val="clear" w:color="auto" w:fill="FFFFFF"/>
        </w:rPr>
        <w:t xml:space="preserve"> </w:t>
      </w:r>
      <w:r>
        <w:rPr>
          <w:rFonts w:hint="default" w:ascii="Times New Roman" w:hAnsi="Times New Roman" w:cs="Times New Roman" w:eastAsiaTheme="minorEastAsia"/>
          <w:szCs w:val="21"/>
          <w:highlight w:val="none"/>
        </w:rPr>
        <w:t>按荷载效应标准组合计算的作用于第</w:t>
      </w:r>
      <w:r>
        <w:rPr>
          <w:rFonts w:hint="default" w:ascii="Times New Roman" w:hAnsi="Times New Roman" w:cs="Times New Roman" w:eastAsiaTheme="minorEastAsia"/>
          <w:position w:val="-6"/>
          <w:szCs w:val="21"/>
          <w:highlight w:val="none"/>
        </w:rPr>
        <w:object>
          <v:shape id="_x0000_i1089" o:spt="75" type="#_x0000_t75" style="height:12.85pt;width:7.7pt;" o:ole="t" filled="f" o:preferrelative="t" stroked="f" coordsize="21600,21600">
            <v:path/>
            <v:fill on="f" focussize="0,0"/>
            <v:stroke on="f" joinstyle="miter"/>
            <v:imagedata r:id="rId18" o:title=""/>
            <o:lock v:ext="edit" aspectratio="t"/>
            <w10:wrap type="none"/>
            <w10:anchorlock/>
          </v:shape>
          <o:OLEObject Type="Embed" ProgID="Equation.3" ShapeID="_x0000_i1089" DrawAspect="Content" ObjectID="_1468075789" r:id="rId134">
            <o:LockedField>false</o:LockedField>
          </o:OLEObject>
        </w:object>
      </w:r>
      <w:r>
        <w:rPr>
          <w:rFonts w:hint="default" w:ascii="Times New Roman" w:hAnsi="Times New Roman" w:cs="Times New Roman" w:eastAsiaTheme="minorEastAsia"/>
          <w:szCs w:val="21"/>
          <w:highlight w:val="none"/>
        </w:rPr>
        <w:t>基桩的水平力</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pacing w:val="-2"/>
          <w:szCs w:val="21"/>
          <w:highlight w:val="none"/>
        </w:rPr>
        <w:t>。</w:t>
      </w:r>
    </w:p>
    <w:p w14:paraId="5ECFC6D3">
      <w:pPr>
        <w:spacing w:line="312" w:lineRule="exact"/>
        <w:rPr>
          <w:rFonts w:ascii="Times New Roman" w:hAnsi="Times New Roman" w:eastAsiaTheme="minorEastAsia"/>
          <w:szCs w:val="21"/>
          <w:highlight w:val="none"/>
        </w:rPr>
      </w:pPr>
      <w:r>
        <w:rPr>
          <w:rFonts w:hint="default"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.3.2</w:t>
      </w:r>
      <w:r>
        <w:rPr>
          <w:rFonts w:ascii="Times New Roman" w:hAnsi="Times New Roman" w:eastAsiaTheme="minorEastAsia"/>
          <w:b/>
          <w:szCs w:val="21"/>
          <w:highlight w:val="none"/>
        </w:rPr>
        <w:t xml:space="preserve"> </w:t>
      </w:r>
      <w:r>
        <w:rPr>
          <w:rFonts w:ascii="Times New Roman" w:hAnsi="Times New Roman" w:eastAsiaTheme="minorEastAsia"/>
          <w:szCs w:val="21"/>
          <w:highlight w:val="none"/>
        </w:rPr>
        <w:t>对于主要承受竖向荷载的抗震设防区低承台桩基，在同时满足下列条件时，桩顶作用效应计算</w:t>
      </w:r>
      <w:r>
        <w:rPr>
          <w:rFonts w:hint="eastAsia" w:ascii="Times New Roman" w:hAnsi="Times New Roman" w:eastAsiaTheme="minorEastAsia"/>
          <w:szCs w:val="21"/>
          <w:highlight w:val="none"/>
          <w:lang w:val="en-US" w:eastAsia="zh-CN"/>
        </w:rPr>
        <w:t>时</w:t>
      </w:r>
      <w:r>
        <w:rPr>
          <w:rFonts w:ascii="Times New Roman" w:hAnsi="Times New Roman" w:eastAsiaTheme="minorEastAsia"/>
          <w:szCs w:val="21"/>
          <w:highlight w:val="none"/>
        </w:rPr>
        <w:t>可不考虑地震作用：</w:t>
      </w:r>
    </w:p>
    <w:p w14:paraId="63C89958">
      <w:pPr>
        <w:spacing w:line="312" w:lineRule="exact"/>
        <w:ind w:firstLine="422" w:firstLineChars="200"/>
        <w:rPr>
          <w:rFonts w:ascii="Times New Roman" w:hAnsi="Times New Roman" w:eastAsiaTheme="minorEastAsia"/>
          <w:szCs w:val="21"/>
          <w:highlight w:val="none"/>
        </w:rPr>
      </w:pPr>
      <w:r>
        <w:rPr>
          <w:rFonts w:ascii="Times New Roman" w:hAnsi="Times New Roman" w:eastAsia="黑体"/>
          <w:b/>
          <w:bCs/>
          <w:kern w:val="0"/>
          <w:szCs w:val="21"/>
          <w:highlight w:val="none"/>
        </w:rPr>
        <w:t>1</w:t>
      </w:r>
      <w:r>
        <w:rPr>
          <w:rFonts w:ascii="Times New Roman" w:hAnsi="Times New Roman" w:eastAsiaTheme="minorEastAsia"/>
          <w:b/>
          <w:szCs w:val="21"/>
          <w:highlight w:val="none"/>
        </w:rPr>
        <w:t xml:space="preserve"> </w:t>
      </w:r>
      <w:r>
        <w:rPr>
          <w:rFonts w:ascii="Times New Roman" w:hAnsi="Times New Roman" w:eastAsiaTheme="minorEastAsia"/>
          <w:szCs w:val="21"/>
          <w:highlight w:val="none"/>
        </w:rPr>
        <w:t>按</w:t>
      </w:r>
      <w:r>
        <w:rPr>
          <w:rFonts w:hint="eastAsia" w:ascii="Times New Roman" w:hAnsi="Times New Roman" w:eastAsiaTheme="minorEastAsia"/>
          <w:szCs w:val="21"/>
          <w:highlight w:val="none"/>
          <w:lang w:val="en-US" w:eastAsia="zh-CN"/>
        </w:rPr>
        <w:t>国家现行标准</w:t>
      </w:r>
      <w:r>
        <w:rPr>
          <w:rFonts w:ascii="Times New Roman" w:hAnsi="Times New Roman" w:eastAsiaTheme="minorEastAsia"/>
          <w:szCs w:val="21"/>
          <w:highlight w:val="none"/>
        </w:rPr>
        <w:t>《</w:t>
      </w:r>
      <w:r>
        <w:rPr>
          <w:rFonts w:hint="eastAsia" w:ascii="Times New Roman" w:hAnsi="Times New Roman" w:eastAsiaTheme="minorEastAsia"/>
          <w:szCs w:val="21"/>
          <w:highlight w:val="none"/>
          <w:lang w:eastAsia="zh-CN"/>
        </w:rPr>
        <w:t>建筑抗震设计标准</w:t>
      </w:r>
      <w:r>
        <w:rPr>
          <w:rFonts w:ascii="Times New Roman" w:hAnsi="Times New Roman" w:eastAsiaTheme="minorEastAsia"/>
          <w:szCs w:val="21"/>
          <w:highlight w:val="none"/>
        </w:rPr>
        <w:t>》</w:t>
      </w:r>
      <w:r>
        <w:rPr>
          <w:rFonts w:hint="eastAsia" w:ascii="Times New Roman" w:hAnsi="Times New Roman" w:eastAsiaTheme="minorEastAsia"/>
          <w:szCs w:val="21"/>
          <w:highlight w:val="none"/>
          <w:lang w:eastAsia="zh-CN"/>
        </w:rPr>
        <w:t>GB/T50011</w:t>
      </w:r>
      <w:r>
        <w:rPr>
          <w:rFonts w:hint="eastAsia" w:ascii="Times New Roman" w:hAnsi="Times New Roman" w:eastAsiaTheme="minorEastAsia"/>
          <w:szCs w:val="21"/>
          <w:highlight w:val="none"/>
          <w:lang w:val="en-US" w:eastAsia="zh-CN"/>
        </w:rPr>
        <w:t>及行业</w:t>
      </w:r>
      <w:r>
        <w:rPr>
          <w:rFonts w:hint="default" w:ascii="Times New Roman" w:hAnsi="Times New Roman" w:eastAsiaTheme="minorEastAsia"/>
          <w:szCs w:val="21"/>
          <w:highlight w:val="none"/>
        </w:rPr>
        <w:t>现行</w:t>
      </w:r>
      <w:r>
        <w:rPr>
          <w:rFonts w:hint="eastAsia" w:ascii="Times New Roman" w:hAnsi="Times New Roman" w:eastAsiaTheme="minorEastAsia"/>
          <w:szCs w:val="21"/>
          <w:highlight w:val="none"/>
          <w:lang w:val="en-US" w:eastAsia="zh-CN"/>
        </w:rPr>
        <w:t>标准《石油化工构筑物抗震设计规范》SH 3147的</w:t>
      </w:r>
      <w:r>
        <w:rPr>
          <w:rFonts w:ascii="Times New Roman" w:hAnsi="Times New Roman" w:eastAsiaTheme="minorEastAsia"/>
          <w:szCs w:val="21"/>
          <w:highlight w:val="none"/>
        </w:rPr>
        <w:t>规定，可不进行桩基抗震承载力验算的建（构）筑物；</w:t>
      </w:r>
    </w:p>
    <w:p w14:paraId="1A95CE60">
      <w:pPr>
        <w:spacing w:line="312" w:lineRule="exact"/>
        <w:ind w:firstLine="422" w:firstLineChars="200"/>
        <w:rPr>
          <w:rFonts w:ascii="Times New Roman" w:hAnsi="Times New Roman" w:eastAsiaTheme="minorEastAsia"/>
          <w:szCs w:val="21"/>
          <w:highlight w:val="none"/>
        </w:rPr>
      </w:pPr>
      <w:r>
        <w:rPr>
          <w:rFonts w:ascii="Times New Roman" w:hAnsi="Times New Roman" w:eastAsia="黑体"/>
          <w:b/>
          <w:bCs/>
          <w:kern w:val="0"/>
          <w:szCs w:val="21"/>
          <w:highlight w:val="none"/>
        </w:rPr>
        <w:t>2</w:t>
      </w:r>
      <w:r>
        <w:rPr>
          <w:rFonts w:ascii="Times New Roman" w:hAnsi="Times New Roman" w:eastAsiaTheme="minorEastAsia"/>
          <w:b/>
          <w:szCs w:val="21"/>
          <w:highlight w:val="none"/>
        </w:rPr>
        <w:t xml:space="preserve"> </w:t>
      </w:r>
      <w:r>
        <w:rPr>
          <w:rFonts w:ascii="Times New Roman" w:hAnsi="Times New Roman" w:eastAsiaTheme="minorEastAsia"/>
          <w:szCs w:val="21"/>
          <w:highlight w:val="none"/>
        </w:rPr>
        <w:t>建（构）筑场地位于抗震的有利地段。</w:t>
      </w:r>
    </w:p>
    <w:p w14:paraId="55A9553E">
      <w:pPr>
        <w:spacing w:line="312" w:lineRule="exact"/>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.3.3</w:t>
      </w:r>
      <w:r>
        <w:rPr>
          <w:rFonts w:ascii="Times New Roman" w:hAnsi="Times New Roman" w:eastAsiaTheme="minorEastAsia"/>
          <w:b/>
          <w:szCs w:val="21"/>
          <w:highlight w:val="none"/>
        </w:rPr>
        <w:t xml:space="preserve"> </w:t>
      </w:r>
      <w:r>
        <w:rPr>
          <w:rFonts w:hint="eastAsia" w:ascii="Times New Roman" w:hAnsi="Times New Roman" w:eastAsiaTheme="minorEastAsia"/>
          <w:szCs w:val="21"/>
          <w:highlight w:val="none"/>
          <w:lang w:eastAsia="zh-CN"/>
        </w:rPr>
        <w:t>液化土层</w:t>
      </w:r>
      <w:r>
        <w:rPr>
          <w:rFonts w:hint="eastAsia" w:ascii="Times New Roman" w:hAnsi="Times New Roman" w:eastAsiaTheme="minorEastAsia"/>
          <w:szCs w:val="21"/>
          <w:highlight w:val="none"/>
          <w:lang w:val="en-US" w:eastAsia="zh-CN"/>
        </w:rPr>
        <w:t>中</w:t>
      </w:r>
      <w:r>
        <w:rPr>
          <w:rFonts w:hint="eastAsia" w:ascii="Times New Roman" w:hAnsi="Times New Roman" w:eastAsiaTheme="minorEastAsia"/>
          <w:szCs w:val="21"/>
          <w:highlight w:val="none"/>
          <w:lang w:eastAsia="zh-CN"/>
        </w:rPr>
        <w:t>低承台桩基</w:t>
      </w:r>
      <w:r>
        <w:rPr>
          <w:rFonts w:hint="eastAsia" w:ascii="Times New Roman" w:hAnsi="Times New Roman" w:eastAsiaTheme="minorEastAsia"/>
          <w:szCs w:val="21"/>
          <w:highlight w:val="none"/>
          <w:lang w:val="en-US" w:eastAsia="zh-CN"/>
        </w:rPr>
        <w:t>的</w:t>
      </w:r>
      <w:r>
        <w:rPr>
          <w:rFonts w:hint="eastAsia" w:ascii="Times New Roman" w:hAnsi="Times New Roman" w:eastAsiaTheme="minorEastAsia"/>
          <w:szCs w:val="21"/>
          <w:highlight w:val="none"/>
          <w:lang w:eastAsia="zh-CN"/>
        </w:rPr>
        <w:t>抗震验算，应</w:t>
      </w:r>
      <w:r>
        <w:rPr>
          <w:rFonts w:ascii="Times New Roman" w:hAnsi="Times New Roman" w:eastAsiaTheme="minorEastAsia"/>
          <w:szCs w:val="21"/>
          <w:highlight w:val="none"/>
        </w:rPr>
        <w:t>按</w:t>
      </w:r>
      <w:r>
        <w:rPr>
          <w:rFonts w:hint="default" w:ascii="Times New Roman" w:hAnsi="Times New Roman" w:eastAsiaTheme="minorEastAsia"/>
          <w:szCs w:val="21"/>
          <w:highlight w:val="none"/>
        </w:rPr>
        <w:t>现行</w:t>
      </w:r>
      <w:r>
        <w:rPr>
          <w:rFonts w:hint="eastAsia" w:ascii="Times New Roman" w:hAnsi="Times New Roman" w:eastAsiaTheme="minorEastAsia"/>
          <w:szCs w:val="21"/>
          <w:highlight w:val="none"/>
          <w:lang w:val="en-US" w:eastAsia="zh-CN"/>
        </w:rPr>
        <w:t>国家标准</w:t>
      </w:r>
      <w:r>
        <w:rPr>
          <w:rFonts w:ascii="Times New Roman" w:hAnsi="Times New Roman" w:eastAsiaTheme="minorEastAsia"/>
          <w:szCs w:val="21"/>
          <w:highlight w:val="none"/>
        </w:rPr>
        <w:t>《</w:t>
      </w:r>
      <w:r>
        <w:rPr>
          <w:rFonts w:hint="eastAsia" w:ascii="Times New Roman" w:hAnsi="Times New Roman" w:eastAsiaTheme="minorEastAsia"/>
          <w:szCs w:val="21"/>
          <w:highlight w:val="none"/>
          <w:lang w:eastAsia="zh-CN"/>
        </w:rPr>
        <w:t>建筑抗震设计标准</w:t>
      </w:r>
      <w:r>
        <w:rPr>
          <w:rFonts w:ascii="Times New Roman" w:hAnsi="Times New Roman" w:eastAsiaTheme="minorEastAsia"/>
          <w:szCs w:val="21"/>
          <w:highlight w:val="none"/>
        </w:rPr>
        <w:t>》</w:t>
      </w:r>
      <w:r>
        <w:rPr>
          <w:rFonts w:hint="eastAsia" w:ascii="Times New Roman" w:hAnsi="Times New Roman" w:eastAsiaTheme="minorEastAsia"/>
          <w:szCs w:val="21"/>
          <w:highlight w:val="none"/>
          <w:lang w:eastAsia="zh-CN"/>
        </w:rPr>
        <w:t>GB/T</w:t>
      </w:r>
      <w:r>
        <w:rPr>
          <w:rFonts w:hint="eastAsia"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lang w:eastAsia="zh-CN"/>
        </w:rPr>
        <w:t>50011</w:t>
      </w:r>
      <w:r>
        <w:rPr>
          <w:rFonts w:hint="eastAsia" w:ascii="Times New Roman" w:hAnsi="Times New Roman" w:eastAsiaTheme="minorEastAsia"/>
          <w:szCs w:val="21"/>
          <w:highlight w:val="none"/>
          <w:lang w:val="en-US" w:eastAsia="zh-CN"/>
        </w:rPr>
        <w:t>的规定执行。</w:t>
      </w:r>
    </w:p>
    <w:p w14:paraId="25CCB0EE">
      <w:pPr>
        <w:spacing w:line="312" w:lineRule="exact"/>
        <w:rPr>
          <w:rFonts w:hint="default" w:ascii="Times New Roman" w:hAnsi="Times New Roman" w:eastAsiaTheme="minorEastAsia"/>
          <w:color w:val="0000FF"/>
          <w:szCs w:val="21"/>
          <w:highlight w:val="none"/>
          <w:lang w:val="en-US" w:eastAsia="zh-CN"/>
        </w:rPr>
      </w:pPr>
      <w:r>
        <w:rPr>
          <w:rFonts w:hint="default"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.3.</w:t>
      </w:r>
      <w:r>
        <w:rPr>
          <w:rFonts w:hint="default" w:ascii="Times New Roman" w:hAnsi="Times New Roman" w:eastAsia="黑体"/>
          <w:b/>
          <w:bCs/>
          <w:kern w:val="0"/>
          <w:szCs w:val="21"/>
          <w:highlight w:val="none"/>
        </w:rPr>
        <w:t>4</w:t>
      </w:r>
      <w:r>
        <w:rPr>
          <w:rFonts w:ascii="Times New Roman" w:hAnsi="Times New Roman" w:eastAsiaTheme="minorEastAsia"/>
          <w:b/>
          <w:szCs w:val="21"/>
          <w:highlight w:val="none"/>
        </w:rPr>
        <w:t xml:space="preserve"> </w:t>
      </w:r>
      <w:r>
        <w:rPr>
          <w:rFonts w:hint="default" w:ascii="Times New Roman" w:hAnsi="Times New Roman" w:eastAsiaTheme="minorEastAsia"/>
          <w:szCs w:val="21"/>
          <w:highlight w:val="none"/>
        </w:rPr>
        <w:t>当不考虑地震作用</w:t>
      </w:r>
      <w:r>
        <w:rPr>
          <w:rFonts w:ascii="Times New Roman" w:hAnsi="Times New Roman" w:eastAsiaTheme="minorEastAsia"/>
          <w:szCs w:val="21"/>
          <w:highlight w:val="none"/>
        </w:rPr>
        <w:t>效</w:t>
      </w:r>
      <w:r>
        <w:rPr>
          <w:rFonts w:ascii="Times New Roman" w:hAnsi="Times New Roman" w:eastAsiaTheme="minorEastAsia"/>
          <w:bCs/>
          <w:szCs w:val="21"/>
          <w:highlight w:val="none"/>
        </w:rPr>
        <w:t>应</w:t>
      </w:r>
      <w:r>
        <w:rPr>
          <w:rFonts w:hint="default" w:ascii="Times New Roman" w:hAnsi="Times New Roman" w:eastAsiaTheme="minorEastAsia"/>
          <w:bCs/>
          <w:szCs w:val="21"/>
          <w:highlight w:val="none"/>
        </w:rPr>
        <w:t>时，</w:t>
      </w:r>
      <w:r>
        <w:rPr>
          <w:rFonts w:hint="eastAsia" w:ascii="Times New Roman" w:hAnsi="Times New Roman" w:eastAsiaTheme="minorEastAsia"/>
          <w:bCs/>
          <w:szCs w:val="21"/>
          <w:highlight w:val="none"/>
          <w:lang w:val="en-US" w:eastAsia="zh-CN"/>
        </w:rPr>
        <w:t>按</w:t>
      </w:r>
      <w:r>
        <w:rPr>
          <w:rFonts w:hint="default" w:ascii="Times New Roman" w:hAnsi="Times New Roman" w:eastAsiaTheme="minorEastAsia"/>
          <w:bCs/>
          <w:szCs w:val="21"/>
          <w:highlight w:val="none"/>
        </w:rPr>
        <w:t>荷载效应</w:t>
      </w:r>
      <w:r>
        <w:rPr>
          <w:rFonts w:ascii="Times New Roman" w:hAnsi="Times New Roman" w:eastAsiaTheme="minorEastAsia"/>
          <w:szCs w:val="21"/>
          <w:highlight w:val="none"/>
        </w:rPr>
        <w:t>标准组合计算的</w:t>
      </w:r>
      <w:r>
        <w:rPr>
          <w:rFonts w:hint="eastAsia" w:ascii="Times New Roman" w:hAnsi="Times New Roman" w:eastAsiaTheme="minorEastAsia"/>
          <w:szCs w:val="21"/>
          <w:highlight w:val="none"/>
          <w:lang w:eastAsia="zh-CN"/>
        </w:rPr>
        <w:t>建（构）筑物</w:t>
      </w:r>
      <w:r>
        <w:rPr>
          <w:rFonts w:ascii="Times New Roman" w:hAnsi="Times New Roman" w:eastAsiaTheme="minorEastAsia"/>
          <w:szCs w:val="21"/>
          <w:highlight w:val="none"/>
        </w:rPr>
        <w:t>单桩承载力应符合式（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4</w:t>
      </w:r>
      <w:r>
        <w:rPr>
          <w:rFonts w:ascii="Times New Roman" w:hAnsi="Times New Roman" w:eastAsiaTheme="minorEastAsia"/>
          <w:szCs w:val="21"/>
          <w:highlight w:val="none"/>
        </w:rPr>
        <w:t>-1）～式（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4</w:t>
      </w:r>
      <w:r>
        <w:rPr>
          <w:rFonts w:ascii="Times New Roman" w:hAnsi="Times New Roman" w:eastAsiaTheme="minorEastAsia"/>
          <w:szCs w:val="21"/>
          <w:highlight w:val="none"/>
        </w:rPr>
        <w:t>-</w:t>
      </w:r>
      <w:r>
        <w:rPr>
          <w:rFonts w:hint="default" w:ascii="Times New Roman" w:hAnsi="Times New Roman" w:eastAsiaTheme="minorEastAsia"/>
          <w:szCs w:val="21"/>
          <w:highlight w:val="none"/>
          <w:lang w:val="en-US" w:eastAsia="zh-CN"/>
        </w:rPr>
        <w:t>3</w:t>
      </w:r>
      <w:r>
        <w:rPr>
          <w:rFonts w:ascii="Times New Roman" w:hAnsi="Times New Roman" w:eastAsiaTheme="minorEastAsia"/>
          <w:szCs w:val="21"/>
          <w:highlight w:val="none"/>
        </w:rPr>
        <w:t>）的要求：</w:t>
      </w:r>
    </w:p>
    <w:p w14:paraId="2769700E">
      <w:pPr>
        <w:ind w:firstLine="413" w:firstLineChars="196"/>
        <w:rPr>
          <w:rFonts w:ascii="Times New Roman" w:hAnsi="Times New Roman" w:eastAsiaTheme="minorEastAsia"/>
          <w:szCs w:val="21"/>
          <w:highlight w:val="none"/>
        </w:rPr>
      </w:pPr>
      <w:r>
        <w:rPr>
          <w:rFonts w:ascii="Times New Roman" w:hAnsi="Times New Roman" w:eastAsia="黑体"/>
          <w:b/>
          <w:bCs/>
          <w:kern w:val="0"/>
          <w:szCs w:val="21"/>
          <w:highlight w:val="none"/>
        </w:rPr>
        <w:t>1</w:t>
      </w:r>
      <w:r>
        <w:rPr>
          <w:rFonts w:ascii="Times New Roman" w:hAnsi="Times New Roman" w:eastAsiaTheme="minorEastAsia"/>
          <w:szCs w:val="21"/>
          <w:highlight w:val="none"/>
        </w:rPr>
        <w:t xml:space="preserve"> 轴心竖向力作用下，应满足式（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4</w:t>
      </w:r>
      <w:r>
        <w:rPr>
          <w:rFonts w:ascii="Times New Roman" w:hAnsi="Times New Roman" w:eastAsiaTheme="minorEastAsia"/>
          <w:szCs w:val="21"/>
          <w:highlight w:val="none"/>
        </w:rPr>
        <w:t>-1）的要求：</w:t>
      </w:r>
    </w:p>
    <w:p w14:paraId="6BD59501">
      <w:pPr>
        <w:jc w:val="right"/>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90" o:spt="75" type="#_x0000_t75" style="height:18.45pt;width:44.55pt;" o:ole="t" filled="f" o:preferrelative="t" stroked="f" coordsize="21600,21600">
            <v:path/>
            <v:fill on="f" focussize="0,0"/>
            <v:stroke on="f"/>
            <v:imagedata r:id="rId136" o:title=""/>
            <o:lock v:ext="edit" aspectratio="t"/>
            <w10:wrap type="none"/>
            <w10:anchorlock/>
          </v:shape>
          <o:OLEObject Type="Embed" ProgID="Equation.3" ShapeID="_x0000_i1090" DrawAspect="Content" ObjectID="_1468075790" r:id="rId135">
            <o:LockedField>false</o:LockedField>
          </o:OLEObject>
        </w:objec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4</w:t>
      </w:r>
      <w:r>
        <w:rPr>
          <w:rFonts w:ascii="Times New Roman" w:hAnsi="Times New Roman" w:eastAsiaTheme="minorEastAsia"/>
          <w:szCs w:val="21"/>
          <w:highlight w:val="none"/>
        </w:rPr>
        <w:t>-1）</w:t>
      </w:r>
    </w:p>
    <w:p w14:paraId="1753B73E">
      <w:pPr>
        <w:ind w:firstLine="413" w:firstLineChars="196"/>
        <w:rPr>
          <w:rFonts w:ascii="Times New Roman" w:hAnsi="Times New Roman" w:eastAsiaTheme="minorEastAsia"/>
          <w:szCs w:val="21"/>
          <w:highlight w:val="none"/>
        </w:rPr>
      </w:pPr>
      <w:r>
        <w:rPr>
          <w:rFonts w:ascii="Times New Roman" w:hAnsi="Times New Roman" w:eastAsia="黑体"/>
          <w:b/>
          <w:bCs/>
          <w:kern w:val="0"/>
          <w:szCs w:val="21"/>
          <w:highlight w:val="none"/>
        </w:rPr>
        <w:t>2</w:t>
      </w:r>
      <w:r>
        <w:rPr>
          <w:rFonts w:ascii="Times New Roman" w:hAnsi="Times New Roman" w:eastAsiaTheme="minorEastAsia"/>
          <w:szCs w:val="21"/>
          <w:highlight w:val="none"/>
        </w:rPr>
        <w:t xml:space="preserve"> 偏心竖向力作用下，除满足</w:t>
      </w:r>
      <w:r>
        <w:rPr>
          <w:rFonts w:hint="default" w:ascii="Times New Roman" w:hAnsi="Times New Roman" w:eastAsiaTheme="minorEastAsia"/>
          <w:szCs w:val="21"/>
          <w:highlight w:val="none"/>
        </w:rPr>
        <w:t>上</w:t>
      </w:r>
      <w:r>
        <w:rPr>
          <w:rFonts w:ascii="Times New Roman" w:hAnsi="Times New Roman" w:eastAsiaTheme="minorEastAsia"/>
          <w:szCs w:val="21"/>
          <w:highlight w:val="none"/>
        </w:rPr>
        <w:t>式外，尚应满足式（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4</w:t>
      </w:r>
      <w:r>
        <w:rPr>
          <w:rFonts w:ascii="Times New Roman" w:hAnsi="Times New Roman" w:eastAsiaTheme="minorEastAsia"/>
          <w:szCs w:val="21"/>
          <w:highlight w:val="none"/>
        </w:rPr>
        <w:t>-</w:t>
      </w:r>
      <w:r>
        <w:rPr>
          <w:rFonts w:hint="default" w:ascii="Times New Roman" w:hAnsi="Times New Roman" w:eastAsiaTheme="minorEastAsia"/>
          <w:szCs w:val="21"/>
          <w:highlight w:val="none"/>
          <w:lang w:val="en-US" w:eastAsia="zh-CN"/>
        </w:rPr>
        <w:t>2</w:t>
      </w:r>
      <w:r>
        <w:rPr>
          <w:rFonts w:ascii="Times New Roman" w:hAnsi="Times New Roman" w:eastAsiaTheme="minorEastAsia"/>
          <w:szCs w:val="21"/>
          <w:highlight w:val="none"/>
        </w:rPr>
        <w:t>）的要求：</w:t>
      </w:r>
    </w:p>
    <w:p w14:paraId="7E8B9F8E">
      <w:pPr>
        <w:jc w:val="right"/>
        <w:rPr>
          <w:rFonts w:ascii="Times New Roman" w:hAnsi="Times New Roman" w:eastAsiaTheme="minorEastAsia"/>
          <w:szCs w:val="21"/>
          <w:highlight w:val="none"/>
        </w:rPr>
      </w:pPr>
      <w:r>
        <w:rPr>
          <w:rFonts w:ascii="Times New Roman" w:hAnsi="Times New Roman" w:eastAsiaTheme="minorEastAsia"/>
          <w:szCs w:val="21"/>
          <w:highlight w:val="none"/>
        </w:rPr>
        <w:t xml:space="preserve"> </w:t>
      </w:r>
      <w:r>
        <w:rPr>
          <w:rFonts w:ascii="Times New Roman" w:hAnsi="Times New Roman" w:eastAsiaTheme="minorEastAsia"/>
          <w:position w:val="-12"/>
          <w:szCs w:val="21"/>
          <w:highlight w:val="none"/>
        </w:rPr>
        <w:object>
          <v:shape id="_x0000_i1091" o:spt="75" type="#_x0000_t75" style="height:18.45pt;width:66.6pt;" o:ole="t" filled="f" o:preferrelative="t" stroked="f" coordsize="21600,21600">
            <v:path/>
            <v:fill on="f" focussize="0,0"/>
            <v:stroke on="f"/>
            <v:imagedata r:id="rId138" o:title=""/>
            <o:lock v:ext="edit" aspectratio="t"/>
            <w10:wrap type="none"/>
            <w10:anchorlock/>
          </v:shape>
          <o:OLEObject Type="Embed" ProgID="Equation.3" ShapeID="_x0000_i1091" DrawAspect="Content" ObjectID="_1468075791" r:id="rId137">
            <o:LockedField>false</o:LockedField>
          </o:OLEObject>
        </w:objec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4</w:t>
      </w:r>
      <w:r>
        <w:rPr>
          <w:rFonts w:ascii="Times New Roman" w:hAnsi="Times New Roman" w:eastAsiaTheme="minorEastAsia"/>
          <w:szCs w:val="21"/>
          <w:highlight w:val="none"/>
        </w:rPr>
        <w:t>-</w:t>
      </w:r>
      <w:r>
        <w:rPr>
          <w:rFonts w:hint="default" w:ascii="Times New Roman" w:hAnsi="Times New Roman" w:eastAsiaTheme="minorEastAsia"/>
          <w:szCs w:val="21"/>
          <w:highlight w:val="none"/>
          <w:lang w:val="en-US" w:eastAsia="zh-CN"/>
        </w:rPr>
        <w:t>2</w:t>
      </w:r>
      <w:r>
        <w:rPr>
          <w:rFonts w:ascii="Times New Roman" w:hAnsi="Times New Roman" w:eastAsiaTheme="minorEastAsia"/>
          <w:szCs w:val="21"/>
          <w:highlight w:val="none"/>
        </w:rPr>
        <w:t>）</w:t>
      </w:r>
    </w:p>
    <w:p w14:paraId="6DB25B05">
      <w:pPr>
        <w:ind w:firstLine="422" w:firstLineChars="200"/>
        <w:rPr>
          <w:rFonts w:ascii="Times New Roman" w:hAnsi="Times New Roman" w:eastAsiaTheme="minorEastAsia"/>
          <w:color w:val="0000FF"/>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b/>
          <w:szCs w:val="21"/>
          <w:highlight w:val="none"/>
        </w:rPr>
        <w:t xml:space="preserve"> </w:t>
      </w:r>
      <w:r>
        <w:rPr>
          <w:rFonts w:ascii="Times New Roman" w:hAnsi="Times New Roman" w:eastAsiaTheme="minorEastAsia"/>
          <w:szCs w:val="21"/>
          <w:highlight w:val="none"/>
        </w:rPr>
        <w:t>水平荷载作用下</w:t>
      </w:r>
      <w:r>
        <w:rPr>
          <w:rFonts w:hint="eastAsia" w:ascii="Times New Roman" w:hAnsi="Times New Roman" w:eastAsiaTheme="minorEastAsia"/>
          <w:szCs w:val="21"/>
          <w:highlight w:val="none"/>
          <w:lang w:eastAsia="zh-CN"/>
        </w:rPr>
        <w:t>，</w:t>
      </w:r>
      <w:r>
        <w:rPr>
          <w:rFonts w:ascii="Times New Roman" w:hAnsi="Times New Roman" w:eastAsiaTheme="minorEastAsia"/>
          <w:szCs w:val="21"/>
          <w:highlight w:val="none"/>
        </w:rPr>
        <w:t>应满足式（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eastAsia" w:ascii="Times New Roman" w:hAnsi="Times New Roman" w:eastAsiaTheme="minorEastAsia"/>
          <w:szCs w:val="21"/>
          <w:highlight w:val="none"/>
          <w:lang w:val="en-US" w:eastAsia="zh-CN"/>
        </w:rPr>
        <w:t>4</w:t>
      </w:r>
      <w:r>
        <w:rPr>
          <w:rFonts w:ascii="Times New Roman" w:hAnsi="Times New Roman" w:eastAsiaTheme="minorEastAsia"/>
          <w:szCs w:val="21"/>
          <w:highlight w:val="none"/>
        </w:rPr>
        <w:t>-</w:t>
      </w:r>
      <w:r>
        <w:rPr>
          <w:rFonts w:hint="default" w:ascii="Times New Roman" w:hAnsi="Times New Roman" w:eastAsiaTheme="minorEastAsia"/>
          <w:szCs w:val="21"/>
          <w:highlight w:val="none"/>
        </w:rPr>
        <w:t>3</w:t>
      </w:r>
      <w:r>
        <w:rPr>
          <w:rFonts w:ascii="Times New Roman" w:hAnsi="Times New Roman" w:eastAsiaTheme="minorEastAsia"/>
          <w:szCs w:val="21"/>
          <w:highlight w:val="none"/>
        </w:rPr>
        <w:t>）的要求：</w:t>
      </w:r>
    </w:p>
    <w:p w14:paraId="42416931">
      <w:pPr>
        <w:jc w:val="right"/>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92" o:spt="75" type="#_x0000_t75" style="height:18.45pt;width:44.4pt;" o:ole="t" filled="f" o:preferrelative="t" stroked="f" coordsize="21600,21600">
            <v:path/>
            <v:fill on="f" focussize="0,0"/>
            <v:stroke on="f"/>
            <v:imagedata r:id="rId140" o:title=""/>
            <o:lock v:ext="edit" aspectratio="t"/>
            <w10:wrap type="none"/>
            <w10:anchorlock/>
          </v:shape>
          <o:OLEObject Type="Embed" ProgID="Equation.3" ShapeID="_x0000_i1092" DrawAspect="Content" ObjectID="_1468075792" r:id="rId139">
            <o:LockedField>false</o:LockedField>
          </o:OLEObject>
        </w:objec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4</w:t>
      </w:r>
      <w:r>
        <w:rPr>
          <w:rFonts w:ascii="Times New Roman" w:hAnsi="Times New Roman" w:eastAsiaTheme="minorEastAsia"/>
          <w:szCs w:val="21"/>
          <w:highlight w:val="none"/>
        </w:rPr>
        <w:t>-</w:t>
      </w:r>
      <w:r>
        <w:rPr>
          <w:rFonts w:hint="default" w:ascii="Times New Roman" w:hAnsi="Times New Roman" w:eastAsiaTheme="minorEastAsia"/>
          <w:szCs w:val="21"/>
          <w:highlight w:val="none"/>
          <w:lang w:val="en-US" w:eastAsia="zh-CN"/>
        </w:rPr>
        <w:t>3</w:t>
      </w:r>
      <w:r>
        <w:rPr>
          <w:rFonts w:ascii="Times New Roman" w:hAnsi="Times New Roman" w:eastAsiaTheme="minorEastAsia"/>
          <w:szCs w:val="21"/>
          <w:highlight w:val="none"/>
        </w:rPr>
        <w:t>）</w:t>
      </w:r>
    </w:p>
    <w:p w14:paraId="0270622C">
      <w:pPr>
        <w:spacing w:line="312" w:lineRule="exact"/>
        <w:ind w:left="1680" w:hanging="1680" w:hangingChars="800"/>
        <w:rPr>
          <w:rFonts w:ascii="Times New Roman" w:hAnsi="Times New Roman" w:eastAsiaTheme="minorEastAsia"/>
          <w:szCs w:val="21"/>
          <w:highlight w:val="none"/>
        </w:rPr>
      </w:pPr>
      <w:r>
        <w:rPr>
          <w:rFonts w:ascii="Times New Roman" w:hAnsi="Times New Roman" w:eastAsiaTheme="minorEastAsia"/>
          <w:szCs w:val="21"/>
          <w:highlight w:val="none"/>
        </w:rPr>
        <w:t>式中：</w:t>
      </w:r>
      <w:r>
        <w:rPr>
          <w:rFonts w:ascii="Times New Roman" w:hAnsi="Times New Roman" w:eastAsiaTheme="minorEastAsia"/>
          <w:position w:val="-12"/>
          <w:szCs w:val="21"/>
          <w:highlight w:val="none"/>
        </w:rPr>
        <w:object>
          <v:shape id="_x0000_i1093" o:spt="75" type="#_x0000_t75" style="height:18.45pt;width:31.3pt;" o:ole="t" filled="f" o:preferrelative="t" stroked="f" coordsize="21600,21600">
            <v:path/>
            <v:fill on="f" focussize="0,0"/>
            <v:stroke on="f"/>
            <v:imagedata r:id="rId142" o:title=""/>
            <o:lock v:ext="edit" aspectratio="t"/>
            <w10:wrap type="none"/>
            <w10:anchorlock/>
          </v:shape>
          <o:OLEObject Type="Embed" ProgID="Equation.3" ShapeID="_x0000_i1093" DrawAspect="Content" ObjectID="_1468075793" r:id="rId141">
            <o:LockedField>false</o:LockedField>
          </o:OLEObject>
        </w:object>
      </w:r>
      <w:r>
        <w:rPr>
          <w:rFonts w:ascii="Times New Roman" w:hAnsi="Times New Roman" w:cs="Times New Roman" w:eastAsiaTheme="minorEastAsia"/>
          <w:szCs w:val="21"/>
          <w:highlight w:val="none"/>
          <w:shd w:val="clear" w:color="auto" w:fill="FFFFFF"/>
        </w:rPr>
        <w:t>——</w:t>
      </w:r>
      <w:r>
        <w:rPr>
          <w:rFonts w:hint="default" w:ascii="Times New Roman" w:hAnsi="Times New Roman" w:cs="Times New Roman" w:eastAsiaTheme="minorEastAsia"/>
          <w:szCs w:val="21"/>
          <w:highlight w:val="none"/>
          <w:shd w:val="clear" w:color="auto" w:fill="FFFFFF"/>
        </w:rPr>
        <w:t xml:space="preserve"> </w:t>
      </w:r>
      <w:r>
        <w:rPr>
          <w:rFonts w:ascii="Times New Roman" w:hAnsi="Times New Roman" w:eastAsiaTheme="minorEastAsia"/>
          <w:szCs w:val="21"/>
          <w:highlight w:val="none"/>
        </w:rPr>
        <w:t>荷载效应标准组合偏心竖向力作用下，桩顶最大竖向力</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3BEE4463">
      <w:pPr>
        <w:keepNext w:val="0"/>
        <w:keepLines w:val="0"/>
        <w:pageBreakBefore w:val="0"/>
        <w:widowControl w:val="0"/>
        <w:kinsoku/>
        <w:wordWrap/>
        <w:overflowPunct/>
        <w:topLinePunct w:val="0"/>
        <w:autoSpaceDE/>
        <w:autoSpaceDN/>
        <w:bidi w:val="0"/>
        <w:adjustRightInd/>
        <w:snapToGrid/>
        <w:spacing w:line="360" w:lineRule="exact"/>
        <w:ind w:left="1575" w:leftChars="400" w:hanging="735" w:hangingChars="350"/>
        <w:textAlignment w:val="auto"/>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94" o:spt="75" type="#_x0000_t75" style="height:18.45pt;width:15pt;" o:ole="t" filled="f" o:preferrelative="t" stroked="f" coordsize="21600,21600">
            <v:path/>
            <v:fill on="f" focussize="0,0"/>
            <v:stroke on="f" joinstyle="miter"/>
            <v:imagedata r:id="rId144" o:title=""/>
            <o:lock v:ext="edit" aspectratio="t"/>
            <w10:wrap type="none"/>
            <w10:anchorlock/>
          </v:shape>
          <o:OLEObject Type="Embed" ProgID="Equation.3" ShapeID="_x0000_i1094" DrawAspect="Content" ObjectID="_1468075794" r:id="rId143">
            <o:LockedField>false</o:LockedField>
          </o:OLEObject>
        </w:object>
      </w:r>
      <w:r>
        <w:rPr>
          <w:rFonts w:ascii="Times New Roman" w:hAnsi="Times New Roman" w:eastAsiaTheme="minorEastAsia"/>
          <w:w w:val="50"/>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基桩中的单桩竖向承载力特征值</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04FFF048">
      <w:pPr>
        <w:keepNext w:val="0"/>
        <w:keepLines w:val="0"/>
        <w:pageBreakBefore w:val="0"/>
        <w:widowControl w:val="0"/>
        <w:kinsoku/>
        <w:wordWrap/>
        <w:overflowPunct/>
        <w:topLinePunct w:val="0"/>
        <w:autoSpaceDE/>
        <w:autoSpaceDN/>
        <w:bidi w:val="0"/>
        <w:adjustRightInd/>
        <w:snapToGrid/>
        <w:spacing w:line="360" w:lineRule="exact"/>
        <w:ind w:left="1438" w:leftChars="249" w:hanging="915" w:hangingChars="436"/>
        <w:textAlignment w:val="auto"/>
        <w:rPr>
          <w:rFonts w:ascii="Times New Roman" w:hAnsi="Times New Roman" w:eastAsiaTheme="minorEastAsia"/>
          <w:szCs w:val="21"/>
          <w:highlight w:val="none"/>
        </w:rPr>
      </w:pPr>
      <w:r>
        <w:rPr>
          <w:rFonts w:hint="default" w:ascii="Times New Roman" w:hAnsi="Times New Roman" w:eastAsiaTheme="minorEastAsia"/>
          <w:position w:val="-12"/>
          <w:szCs w:val="21"/>
          <w:highlight w:val="none"/>
        </w:rPr>
        <w:t xml:space="preserve">  </w:t>
      </w:r>
      <w:r>
        <w:rPr>
          <w:rFonts w:ascii="Times New Roman" w:hAnsi="Times New Roman" w:eastAsiaTheme="minorEastAsia"/>
          <w:position w:val="-12"/>
          <w:szCs w:val="21"/>
          <w:highlight w:val="none"/>
        </w:rPr>
        <w:object>
          <v:shape id="_x0000_i1095" o:spt="75" type="#_x0000_t75" style="height:18.45pt;width:15pt;" o:ole="t" filled="f" o:preferrelative="t" stroked="f" coordsize="21600,21600">
            <v:path/>
            <v:fill on="f" focussize="0,0"/>
            <v:stroke on="f"/>
            <v:imagedata r:id="rId146" o:title=""/>
            <o:lock v:ext="edit" aspectratio="t"/>
            <w10:wrap type="none"/>
            <w10:anchorlock/>
          </v:shape>
          <o:OLEObject Type="Embed" ProgID="Equation.3" ShapeID="_x0000_i1095" DrawAspect="Content" ObjectID="_1468075795" r:id="rId145">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单桩基桩或群桩中基桩的水平承载力特征值</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370FE758">
      <w:pPr>
        <w:spacing w:line="312" w:lineRule="exact"/>
        <w:rPr>
          <w:rFonts w:ascii="Times New Roman" w:hAnsi="Times New Roman" w:eastAsiaTheme="minorEastAsia"/>
          <w:szCs w:val="21"/>
          <w:highlight w:val="none"/>
        </w:rPr>
      </w:pPr>
      <w:r>
        <w:rPr>
          <w:rFonts w:hint="default"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.3.</w:t>
      </w:r>
      <w:r>
        <w:rPr>
          <w:rFonts w:hint="default" w:ascii="Times New Roman" w:hAnsi="Times New Roman" w:eastAsia="黑体"/>
          <w:b/>
          <w:bCs/>
          <w:kern w:val="0"/>
          <w:szCs w:val="21"/>
          <w:highlight w:val="none"/>
        </w:rPr>
        <w:t>5</w:t>
      </w:r>
      <w:r>
        <w:rPr>
          <w:rFonts w:ascii="Times New Roman" w:hAnsi="Times New Roman" w:eastAsia="黑体"/>
          <w:kern w:val="0"/>
          <w:szCs w:val="21"/>
          <w:highlight w:val="none"/>
        </w:rPr>
        <w:t xml:space="preserve"> </w:t>
      </w:r>
      <w:r>
        <w:rPr>
          <w:rFonts w:hint="default" w:ascii="Times New Roman" w:hAnsi="Times New Roman" w:eastAsiaTheme="minorEastAsia"/>
          <w:szCs w:val="21"/>
          <w:highlight w:val="none"/>
        </w:rPr>
        <w:t>当考虑地震作用效应时，</w:t>
      </w:r>
      <w:r>
        <w:rPr>
          <w:rFonts w:hint="eastAsia" w:ascii="Times New Roman" w:hAnsi="Times New Roman" w:eastAsiaTheme="minorEastAsia"/>
          <w:szCs w:val="21"/>
          <w:highlight w:val="none"/>
          <w:lang w:val="en-US" w:eastAsia="zh-CN"/>
        </w:rPr>
        <w:t>按</w:t>
      </w:r>
      <w:r>
        <w:rPr>
          <w:rFonts w:ascii="Times New Roman" w:hAnsi="Times New Roman" w:eastAsiaTheme="minorEastAsia"/>
          <w:szCs w:val="21"/>
          <w:highlight w:val="none"/>
        </w:rPr>
        <w:t>地震作用效应和荷载效应标准组合计算的</w:t>
      </w:r>
      <w:r>
        <w:rPr>
          <w:rFonts w:hint="eastAsia" w:ascii="Times New Roman" w:hAnsi="Times New Roman" w:eastAsiaTheme="minorEastAsia"/>
          <w:szCs w:val="21"/>
          <w:highlight w:val="none"/>
          <w:lang w:eastAsia="zh-CN"/>
        </w:rPr>
        <w:t>建（构）筑物</w:t>
      </w:r>
      <w:r>
        <w:rPr>
          <w:rFonts w:ascii="Times New Roman" w:hAnsi="Times New Roman" w:eastAsiaTheme="minorEastAsia"/>
          <w:szCs w:val="21"/>
          <w:highlight w:val="none"/>
        </w:rPr>
        <w:t>单桩承载力应符合式（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5</w:t>
      </w:r>
      <w:r>
        <w:rPr>
          <w:rFonts w:ascii="Times New Roman" w:hAnsi="Times New Roman" w:eastAsiaTheme="minorEastAsia"/>
          <w:szCs w:val="21"/>
          <w:highlight w:val="none"/>
        </w:rPr>
        <w:t>-1）～式（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5</w:t>
      </w:r>
      <w:r>
        <w:rPr>
          <w:rFonts w:ascii="Times New Roman" w:hAnsi="Times New Roman" w:eastAsiaTheme="minorEastAsia"/>
          <w:szCs w:val="21"/>
          <w:highlight w:val="none"/>
        </w:rPr>
        <w:t>-</w:t>
      </w:r>
      <w:r>
        <w:rPr>
          <w:rFonts w:hint="default" w:ascii="Times New Roman" w:hAnsi="Times New Roman" w:eastAsiaTheme="minorEastAsia"/>
          <w:szCs w:val="21"/>
          <w:highlight w:val="none"/>
          <w:lang w:val="en-US" w:eastAsia="zh-CN"/>
        </w:rPr>
        <w:t>3</w:t>
      </w:r>
      <w:r>
        <w:rPr>
          <w:rFonts w:ascii="Times New Roman" w:hAnsi="Times New Roman" w:eastAsiaTheme="minorEastAsia"/>
          <w:szCs w:val="21"/>
          <w:highlight w:val="none"/>
        </w:rPr>
        <w:t>）的要求。</w:t>
      </w:r>
    </w:p>
    <w:p w14:paraId="1D2C374C">
      <w:pPr>
        <w:ind w:firstLine="413" w:firstLineChars="196"/>
        <w:rPr>
          <w:rFonts w:ascii="Times New Roman" w:hAnsi="Times New Roman" w:eastAsiaTheme="minorEastAsia"/>
          <w:szCs w:val="21"/>
          <w:highlight w:val="none"/>
        </w:rPr>
      </w:pPr>
      <w:r>
        <w:rPr>
          <w:rFonts w:ascii="Times New Roman" w:hAnsi="Times New Roman" w:eastAsia="黑体"/>
          <w:b/>
          <w:bCs/>
          <w:kern w:val="0"/>
          <w:szCs w:val="21"/>
          <w:highlight w:val="none"/>
        </w:rPr>
        <w:t>1</w:t>
      </w:r>
      <w:r>
        <w:rPr>
          <w:rFonts w:ascii="Times New Roman" w:hAnsi="Times New Roman" w:eastAsiaTheme="minorEastAsia"/>
          <w:b/>
          <w:szCs w:val="21"/>
          <w:highlight w:val="none"/>
        </w:rPr>
        <w:t xml:space="preserve"> </w:t>
      </w:r>
      <w:r>
        <w:rPr>
          <w:rFonts w:ascii="Times New Roman" w:hAnsi="Times New Roman" w:eastAsiaTheme="minorEastAsia"/>
          <w:szCs w:val="21"/>
          <w:highlight w:val="none"/>
        </w:rPr>
        <w:t>轴心竖向力作用下，应满足式（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5</w:t>
      </w:r>
      <w:r>
        <w:rPr>
          <w:rFonts w:ascii="Times New Roman" w:hAnsi="Times New Roman" w:eastAsiaTheme="minorEastAsia"/>
          <w:szCs w:val="21"/>
          <w:highlight w:val="none"/>
        </w:rPr>
        <w:t>-1）的要求：</w:t>
      </w:r>
    </w:p>
    <w:p w14:paraId="4A5EE30E">
      <w:pPr>
        <w:jc w:val="right"/>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96" o:spt="75" type="#_x0000_t75" style="height:18.45pt;width:65.7pt;" o:ole="t" filled="f" o:preferrelative="t" stroked="f" coordsize="21600,21600">
            <v:path/>
            <v:fill on="f" focussize="0,0"/>
            <v:stroke on="f"/>
            <v:imagedata r:id="rId148" o:title=""/>
            <o:lock v:ext="edit" aspectratio="t"/>
            <w10:wrap type="none"/>
            <w10:anchorlock/>
          </v:shape>
          <o:OLEObject Type="Embed" ProgID="Equation.3" ShapeID="_x0000_i1096" DrawAspect="Content" ObjectID="_1468075796" r:id="rId147">
            <o:LockedField>false</o:LockedField>
          </o:OLEObject>
        </w:objec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5</w:t>
      </w:r>
      <w:r>
        <w:rPr>
          <w:rFonts w:ascii="Times New Roman" w:hAnsi="Times New Roman" w:eastAsiaTheme="minorEastAsia"/>
          <w:szCs w:val="21"/>
          <w:highlight w:val="none"/>
        </w:rPr>
        <w:t>-1）</w:t>
      </w:r>
    </w:p>
    <w:p w14:paraId="15367CF9">
      <w:pPr>
        <w:spacing w:line="312" w:lineRule="exact"/>
        <w:ind w:firstLine="422" w:firstLineChars="200"/>
        <w:rPr>
          <w:rFonts w:ascii="Times New Roman" w:hAnsi="Times New Roman" w:eastAsiaTheme="minorEastAsia"/>
          <w:szCs w:val="21"/>
          <w:highlight w:val="none"/>
        </w:rPr>
      </w:pPr>
      <w:r>
        <w:rPr>
          <w:rFonts w:ascii="Times New Roman" w:hAnsi="Times New Roman" w:eastAsia="黑体"/>
          <w:b/>
          <w:bCs/>
          <w:kern w:val="0"/>
          <w:szCs w:val="21"/>
          <w:highlight w:val="none"/>
        </w:rPr>
        <w:t>2</w:t>
      </w:r>
      <w:r>
        <w:rPr>
          <w:rFonts w:ascii="Times New Roman" w:hAnsi="Times New Roman" w:eastAsiaTheme="minorEastAsia"/>
          <w:szCs w:val="21"/>
          <w:highlight w:val="none"/>
        </w:rPr>
        <w:t xml:space="preserve"> 偏心竖向力作用下，除满足</w:t>
      </w:r>
      <w:r>
        <w:rPr>
          <w:rFonts w:hint="default" w:ascii="Times New Roman" w:hAnsi="Times New Roman" w:eastAsiaTheme="minorEastAsia"/>
          <w:szCs w:val="21"/>
          <w:highlight w:val="none"/>
        </w:rPr>
        <w:t>上</w:t>
      </w:r>
      <w:r>
        <w:rPr>
          <w:rFonts w:ascii="Times New Roman" w:hAnsi="Times New Roman" w:eastAsiaTheme="minorEastAsia"/>
          <w:szCs w:val="21"/>
          <w:highlight w:val="none"/>
        </w:rPr>
        <w:t>式的要求外，尚应满足式（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5</w:t>
      </w:r>
      <w:r>
        <w:rPr>
          <w:rFonts w:ascii="Times New Roman" w:hAnsi="Times New Roman" w:eastAsiaTheme="minorEastAsia"/>
          <w:szCs w:val="21"/>
          <w:highlight w:val="none"/>
        </w:rPr>
        <w:t>-</w:t>
      </w:r>
      <w:r>
        <w:rPr>
          <w:rFonts w:hint="default" w:ascii="Times New Roman" w:hAnsi="Times New Roman" w:eastAsiaTheme="minorEastAsia"/>
          <w:szCs w:val="21"/>
          <w:highlight w:val="none"/>
        </w:rPr>
        <w:t>2</w:t>
      </w:r>
      <w:r>
        <w:rPr>
          <w:rFonts w:ascii="Times New Roman" w:hAnsi="Times New Roman" w:eastAsiaTheme="minorEastAsia"/>
          <w:szCs w:val="21"/>
          <w:highlight w:val="none"/>
        </w:rPr>
        <w:t>）的要求：</w:t>
      </w:r>
    </w:p>
    <w:p w14:paraId="59B644CD">
      <w:pPr>
        <w:jc w:val="right"/>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097" o:spt="75" type="#_x0000_t75" style="height:18.45pt;width:72.4pt;" o:ole="t" filled="f" o:preferrelative="t" stroked="f" coordsize="21600,21600">
            <v:path/>
            <v:fill on="f" focussize="0,0"/>
            <v:stroke on="f"/>
            <v:imagedata r:id="rId150" o:title=""/>
            <o:lock v:ext="edit" aspectratio="t"/>
            <w10:wrap type="none"/>
            <w10:anchorlock/>
          </v:shape>
          <o:OLEObject Type="Embed" ProgID="Equation.3" ShapeID="_x0000_i1097" DrawAspect="Content" ObjectID="_1468075797" r:id="rId149">
            <o:LockedField>false</o:LockedField>
          </o:OLEObject>
        </w:objec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5</w:t>
      </w:r>
      <w:r>
        <w:rPr>
          <w:rFonts w:ascii="Times New Roman" w:hAnsi="Times New Roman" w:eastAsiaTheme="minorEastAsia"/>
          <w:szCs w:val="21"/>
          <w:highlight w:val="none"/>
        </w:rPr>
        <w:t>-</w:t>
      </w:r>
      <w:r>
        <w:rPr>
          <w:rFonts w:hint="default" w:ascii="Times New Roman" w:hAnsi="Times New Roman" w:eastAsiaTheme="minorEastAsia"/>
          <w:szCs w:val="21"/>
          <w:highlight w:val="none"/>
        </w:rPr>
        <w:t>2</w:t>
      </w:r>
      <w:r>
        <w:rPr>
          <w:rFonts w:ascii="Times New Roman" w:hAnsi="Times New Roman" w:eastAsiaTheme="minorEastAsia"/>
          <w:szCs w:val="21"/>
          <w:highlight w:val="none"/>
        </w:rPr>
        <w:t>）</w:t>
      </w:r>
    </w:p>
    <w:p w14:paraId="7339CC44">
      <w:pPr>
        <w:ind w:firstLine="413" w:firstLineChars="196"/>
        <w:rPr>
          <w:rFonts w:ascii="Times New Roman" w:hAnsi="Times New Roman" w:eastAsiaTheme="minorEastAsia"/>
          <w:szCs w:val="21"/>
          <w:highlight w:val="none"/>
        </w:rPr>
      </w:pPr>
      <w:r>
        <w:rPr>
          <w:rFonts w:ascii="Times New Roman" w:hAnsi="Times New Roman" w:eastAsia="黑体"/>
          <w:b/>
          <w:bCs/>
          <w:kern w:val="0"/>
          <w:szCs w:val="21"/>
          <w:highlight w:val="none"/>
        </w:rPr>
        <w:t>3</w:t>
      </w:r>
      <w:r>
        <w:rPr>
          <w:rFonts w:ascii="Times New Roman" w:hAnsi="Times New Roman" w:eastAsiaTheme="minorEastAsia"/>
          <w:szCs w:val="21"/>
          <w:highlight w:val="none"/>
        </w:rPr>
        <w:t xml:space="preserve"> 水平荷载作用下，应满足式（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5</w:t>
      </w:r>
      <w:r>
        <w:rPr>
          <w:rFonts w:ascii="Times New Roman" w:hAnsi="Times New Roman" w:eastAsiaTheme="minorEastAsia"/>
          <w:szCs w:val="21"/>
          <w:highlight w:val="none"/>
        </w:rPr>
        <w:t>-</w:t>
      </w:r>
      <w:r>
        <w:rPr>
          <w:rFonts w:hint="default" w:ascii="Times New Roman" w:hAnsi="Times New Roman" w:eastAsiaTheme="minorEastAsia"/>
          <w:szCs w:val="21"/>
          <w:highlight w:val="none"/>
        </w:rPr>
        <w:t>3</w:t>
      </w:r>
      <w:r>
        <w:rPr>
          <w:rFonts w:ascii="Times New Roman" w:hAnsi="Times New Roman" w:eastAsiaTheme="minorEastAsia"/>
          <w:szCs w:val="21"/>
          <w:highlight w:val="none"/>
        </w:rPr>
        <w:t>）的要求：</w:t>
      </w:r>
    </w:p>
    <w:p w14:paraId="46519928">
      <w:pPr>
        <w:jc w:val="right"/>
        <w:rPr>
          <w:rFonts w:ascii="Times New Roman" w:hAnsi="Times New Roman" w:eastAsiaTheme="minorEastAsia"/>
          <w:szCs w:val="21"/>
          <w:highlight w:val="none"/>
        </w:rPr>
      </w:pPr>
      <w:r>
        <w:rPr>
          <w:rFonts w:ascii="Times New Roman" w:hAnsi="Times New Roman" w:eastAsiaTheme="minorEastAsia"/>
          <w:szCs w:val="21"/>
          <w:highlight w:val="none"/>
        </w:rPr>
        <w:t xml:space="preserve"> </w:t>
      </w:r>
      <w:r>
        <w:rPr>
          <w:rFonts w:ascii="Times New Roman" w:hAnsi="Times New Roman" w:eastAsiaTheme="minorEastAsia"/>
          <w:position w:val="-12"/>
          <w:szCs w:val="21"/>
          <w:highlight w:val="none"/>
        </w:rPr>
        <w:object>
          <v:shape id="_x0000_i1098" o:spt="75" type="#_x0000_t75" style="height:18.45pt;width:65.55pt;" o:ole="t" filled="f" o:preferrelative="t" stroked="f" coordsize="21600,21600">
            <v:path/>
            <v:fill on="f" focussize="0,0"/>
            <v:stroke on="f"/>
            <v:imagedata r:id="rId152" o:title=""/>
            <o:lock v:ext="edit" aspectratio="t"/>
            <w10:wrap type="none"/>
            <w10:anchorlock/>
          </v:shape>
          <o:OLEObject Type="Embed" ProgID="Equation.3" ShapeID="_x0000_i1098" DrawAspect="Content" ObjectID="_1468075798" r:id="rId151">
            <o:LockedField>false</o:LockedField>
          </o:OLEObject>
        </w:objec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5</w:t>
      </w:r>
      <w:r>
        <w:rPr>
          <w:rFonts w:ascii="Times New Roman" w:hAnsi="Times New Roman" w:eastAsiaTheme="minorEastAsia"/>
          <w:szCs w:val="21"/>
          <w:highlight w:val="none"/>
        </w:rPr>
        <w:t>-</w:t>
      </w:r>
      <w:r>
        <w:rPr>
          <w:rFonts w:hint="default" w:ascii="Times New Roman" w:hAnsi="Times New Roman" w:eastAsiaTheme="minorEastAsia"/>
          <w:szCs w:val="21"/>
          <w:highlight w:val="none"/>
        </w:rPr>
        <w:t>3</w:t>
      </w:r>
      <w:r>
        <w:rPr>
          <w:rFonts w:ascii="Times New Roman" w:hAnsi="Times New Roman" w:eastAsiaTheme="minorEastAsia"/>
          <w:szCs w:val="21"/>
          <w:highlight w:val="none"/>
        </w:rPr>
        <w:t>）</w:t>
      </w:r>
    </w:p>
    <w:p w14:paraId="70FED17C">
      <w:pPr>
        <w:spacing w:line="312" w:lineRule="exact"/>
        <w:ind w:left="1470" w:hanging="1470" w:hangingChars="700"/>
        <w:rPr>
          <w:rFonts w:ascii="Times New Roman" w:hAnsi="Times New Roman" w:eastAsiaTheme="minorEastAsia"/>
          <w:szCs w:val="21"/>
          <w:highlight w:val="none"/>
        </w:rPr>
      </w:pPr>
      <w:r>
        <w:rPr>
          <w:rFonts w:ascii="Times New Roman" w:hAnsi="Times New Roman" w:eastAsiaTheme="minorEastAsia"/>
          <w:szCs w:val="21"/>
          <w:highlight w:val="none"/>
        </w:rPr>
        <w:t>式中：</w:t>
      </w:r>
      <w:r>
        <w:rPr>
          <w:rFonts w:ascii="Times New Roman" w:hAnsi="Times New Roman" w:eastAsiaTheme="minorEastAsia"/>
          <w:position w:val="-12"/>
          <w:szCs w:val="21"/>
          <w:highlight w:val="none"/>
        </w:rPr>
        <w:object>
          <v:shape id="_x0000_i1099" o:spt="75" type="#_x0000_t75" style="height:18.45pt;width:21.1pt;" o:ole="t" filled="f" o:preferrelative="t" stroked="f" coordsize="21600,21600">
            <v:path/>
            <v:fill on="f" focussize="0,0"/>
            <v:stroke on="f"/>
            <v:imagedata r:id="rId154" o:title=""/>
            <o:lock v:ext="edit" aspectratio="t"/>
            <w10:wrap type="none"/>
            <w10:anchorlock/>
          </v:shape>
          <o:OLEObject Type="Embed" ProgID="Equation.3" ShapeID="_x0000_i1099" DrawAspect="Content" ObjectID="_1468075799" r:id="rId153">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地震作用效应和荷载效应标准组合下，基桩的平均竖向力</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2DC38587">
      <w:pPr>
        <w:keepNext w:val="0"/>
        <w:keepLines w:val="0"/>
        <w:pageBreakBefore w:val="0"/>
        <w:widowControl w:val="0"/>
        <w:kinsoku/>
        <w:wordWrap/>
        <w:overflowPunct/>
        <w:topLinePunct w:val="0"/>
        <w:autoSpaceDE/>
        <w:autoSpaceDN/>
        <w:bidi w:val="0"/>
        <w:adjustRightInd/>
        <w:snapToGrid/>
        <w:spacing w:line="360" w:lineRule="exact"/>
        <w:ind w:left="1449" w:leftChars="290" w:hanging="840" w:hangingChars="400"/>
        <w:textAlignment w:val="auto"/>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100" o:spt="75" type="#_x0000_t75" style="height:18.45pt;width:35.15pt;" o:ole="t" filled="f" o:preferrelative="t" stroked="f" coordsize="21600,21600">
            <v:path/>
            <v:fill on="f" focussize="0,0"/>
            <v:stroke on="f" joinstyle="miter"/>
            <v:imagedata r:id="rId156" o:title=""/>
            <o:lock v:ext="edit" aspectratio="t"/>
            <w10:wrap type="none"/>
            <w10:anchorlock/>
          </v:shape>
          <o:OLEObject Type="Embed" ProgID="Equation.3" ShapeID="_x0000_i1100" DrawAspect="Content" ObjectID="_1468075800" r:id="rId155">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地震作用效应和荷载效应标准组合下，基桩的</w:t>
      </w:r>
      <w:r>
        <w:rPr>
          <w:rFonts w:hint="default" w:ascii="Times New Roman" w:hAnsi="Times New Roman" w:eastAsiaTheme="minorEastAsia"/>
          <w:szCs w:val="21"/>
          <w:highlight w:val="none"/>
        </w:rPr>
        <w:t>最大</w:t>
      </w:r>
      <w:r>
        <w:rPr>
          <w:rFonts w:ascii="Times New Roman" w:hAnsi="Times New Roman" w:eastAsiaTheme="minorEastAsia"/>
          <w:szCs w:val="21"/>
          <w:highlight w:val="none"/>
        </w:rPr>
        <w:t>竖向力</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2783EBCE">
      <w:pPr>
        <w:spacing w:line="312" w:lineRule="exact"/>
        <w:ind w:left="1470" w:leftChars="250" w:hanging="945" w:hangingChars="450"/>
        <w:rPr>
          <w:rFonts w:ascii="Times New Roman" w:hAnsi="Times New Roman" w:eastAsiaTheme="minorEastAsia"/>
          <w:szCs w:val="21"/>
          <w:highlight w:val="none"/>
        </w:rPr>
      </w:pPr>
      <w:r>
        <w:rPr>
          <w:rFonts w:ascii="Times New Roman" w:hAnsi="Times New Roman" w:eastAsiaTheme="minorEastAsia"/>
          <w:position w:val="-12"/>
          <w:szCs w:val="21"/>
          <w:highlight w:val="none"/>
        </w:rPr>
        <w:object>
          <v:shape id="_x0000_i1101" o:spt="75" type="#_x0000_t75" style="height:18.45pt;width:21.85pt;" o:ole="t" filled="f" o:preferrelative="t" stroked="f" coordsize="21600,21600">
            <v:path/>
            <v:fill on="f" focussize="0,0"/>
            <v:stroke on="f" joinstyle="miter"/>
            <v:imagedata r:id="rId158" o:title=""/>
            <o:lock v:ext="edit" aspectratio="t"/>
            <w10:wrap type="none"/>
            <w10:anchorlock/>
          </v:shape>
          <o:OLEObject Type="Embed" ProgID="Equation.3" ShapeID="_x0000_i1101" DrawAspect="Content" ObjectID="_1468075801" r:id="rId157">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地震作用效应和荷载效应标准组合下，基桩的平均水平力</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2726D7A7">
      <w:pPr>
        <w:spacing w:line="312" w:lineRule="exact"/>
        <w:rPr>
          <w:rFonts w:hint="default" w:ascii="Times New Roman" w:hAnsi="Times New Roman" w:eastAsiaTheme="minorEastAsia"/>
          <w:color w:val="0070C0"/>
          <w:szCs w:val="21"/>
          <w:highlight w:val="none"/>
          <w:lang w:eastAsia="zh-CN"/>
        </w:rPr>
      </w:pPr>
      <w:r>
        <w:rPr>
          <w:rFonts w:hint="default"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.3.</w:t>
      </w:r>
      <w:r>
        <w:rPr>
          <w:rFonts w:hint="default" w:ascii="Times New Roman" w:hAnsi="Times New Roman" w:eastAsia="黑体"/>
          <w:b/>
          <w:bCs/>
          <w:kern w:val="0"/>
          <w:szCs w:val="21"/>
          <w:highlight w:val="none"/>
        </w:rPr>
        <w:t>6</w:t>
      </w:r>
      <w:r>
        <w:rPr>
          <w:rFonts w:ascii="Times New Roman" w:hAnsi="Times New Roman" w:eastAsiaTheme="minorEastAsia"/>
          <w:b/>
          <w:szCs w:val="21"/>
          <w:highlight w:val="none"/>
        </w:rPr>
        <w:t xml:space="preserve"> </w:t>
      </w:r>
      <w:r>
        <w:rPr>
          <w:rFonts w:ascii="Times New Roman" w:hAnsi="Times New Roman" w:eastAsiaTheme="minorEastAsia"/>
          <w:strike w:val="0"/>
          <w:dstrike w:val="0"/>
          <w:szCs w:val="21"/>
          <w:highlight w:val="none"/>
        </w:rPr>
        <w:t>单桩竖向承载力特征值</w:t>
      </w:r>
      <w:r>
        <w:rPr>
          <w:rFonts w:ascii="Times New Roman" w:hAnsi="Times New Roman" w:eastAsiaTheme="minorEastAsia"/>
          <w:position w:val="-12"/>
          <w:szCs w:val="21"/>
          <w:highlight w:val="none"/>
        </w:rPr>
        <w:object>
          <v:shape id="_x0000_i1102" o:spt="75" type="#_x0000_t75" style="height:18.45pt;width:15pt;" o:ole="t" filled="f" o:preferrelative="t" stroked="f" coordsize="21600,21600">
            <v:path/>
            <v:fill on="f" focussize="0,0"/>
            <v:stroke on="f"/>
            <v:imagedata r:id="rId160" o:title=""/>
            <o:lock v:ext="edit" aspectratio="t"/>
            <w10:wrap type="none"/>
            <w10:anchorlock/>
          </v:shape>
          <o:OLEObject Type="Embed" ProgID="Equation.3" ShapeID="_x0000_i1102" DrawAspect="Content" ObjectID="_1468075802" r:id="rId159">
            <o:LockedField>false</o:LockedField>
          </o:OLEObject>
        </w:object>
      </w:r>
      <w:r>
        <w:rPr>
          <w:rFonts w:ascii="Times New Roman" w:hAnsi="Times New Roman" w:eastAsiaTheme="minorEastAsia"/>
          <w:szCs w:val="21"/>
          <w:highlight w:val="none"/>
        </w:rPr>
        <w:t>应按式（</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6</w:t>
      </w:r>
      <w:r>
        <w:rPr>
          <w:rFonts w:ascii="Times New Roman" w:hAnsi="Times New Roman" w:eastAsiaTheme="minorEastAsia"/>
          <w:szCs w:val="21"/>
          <w:highlight w:val="none"/>
        </w:rPr>
        <w:t>）确定：</w:t>
      </w:r>
    </w:p>
    <w:p w14:paraId="4587C59A">
      <w:pPr>
        <w:jc w:val="right"/>
        <w:rPr>
          <w:rFonts w:ascii="Times New Roman" w:hAnsi="Times New Roman" w:eastAsiaTheme="minorEastAsia"/>
          <w:szCs w:val="21"/>
          <w:highlight w:val="none"/>
          <w:vertAlign w:val="subscript"/>
        </w:rPr>
      </w:pPr>
      <w:r>
        <w:rPr>
          <w:rFonts w:ascii="Times New Roman" w:hAnsi="Times New Roman" w:eastAsiaTheme="minorEastAsia"/>
          <w:position w:val="-24"/>
          <w:szCs w:val="21"/>
          <w:highlight w:val="none"/>
        </w:rPr>
        <w:object>
          <v:shape id="_x0000_i1103" o:spt="75" type="#_x0000_t75" style="height:30pt;width:58.05pt;" o:ole="t" filled="f" o:preferrelative="t" stroked="f" coordsize="21600,21600">
            <v:path/>
            <v:fill on="f" focussize="0,0"/>
            <v:stroke on="f"/>
            <v:imagedata r:id="rId162" o:title=""/>
            <o:lock v:ext="edit" aspectratio="t"/>
            <w10:wrap type="none"/>
            <w10:anchorlock/>
          </v:shape>
          <o:OLEObject Type="Embed" ProgID="Equation.3" ShapeID="_x0000_i1103" DrawAspect="Content" ObjectID="_1468075803" r:id="rId161">
            <o:LockedField>false</o:LockedField>
          </o:OLEObject>
        </w:object>
      </w:r>
      <w:r>
        <w:rPr>
          <w:rFonts w:ascii="Times New Roman" w:hAnsi="Times New Roman" w:eastAsiaTheme="minorEastAsia"/>
          <w:szCs w:val="21"/>
          <w:highlight w:val="none"/>
          <w:vertAlign w:val="subscript"/>
        </w:rPr>
        <w:t xml:space="preserve">                       </w:t>
      </w:r>
      <w:r>
        <w:rPr>
          <w:rFonts w:ascii="Times New Roman" w:hAnsi="Times New Roman" w:eastAsiaTheme="minorEastAsia"/>
          <w:szCs w:val="21"/>
          <w:highlight w:val="none"/>
        </w:rPr>
        <w:t>（</w:t>
      </w:r>
      <w:r>
        <w:rPr>
          <w:rFonts w:hint="default" w:ascii="Times New Roman" w:hAnsi="Times New Roman" w:eastAsiaTheme="minorEastAsia"/>
          <w:szCs w:val="21"/>
          <w:highlight w:val="none"/>
          <w:lang w:val="en-US" w:eastAsia="zh-CN"/>
        </w:rPr>
        <w:t>4</w:t>
      </w:r>
      <w:r>
        <w:rPr>
          <w:rFonts w:ascii="Times New Roman" w:hAnsi="Times New Roman" w:eastAsiaTheme="minorEastAsia"/>
          <w:szCs w:val="21"/>
          <w:highlight w:val="none"/>
        </w:rPr>
        <w:t>.3.</w:t>
      </w:r>
      <w:r>
        <w:rPr>
          <w:rFonts w:hint="default" w:ascii="Times New Roman" w:hAnsi="Times New Roman" w:eastAsiaTheme="minorEastAsia"/>
          <w:szCs w:val="21"/>
          <w:highlight w:val="none"/>
        </w:rPr>
        <w:t>6</w:t>
      </w:r>
      <w:r>
        <w:rPr>
          <w:rFonts w:ascii="Times New Roman" w:hAnsi="Times New Roman" w:eastAsiaTheme="minorEastAsia"/>
          <w:szCs w:val="21"/>
          <w:highlight w:val="none"/>
        </w:rPr>
        <w:t>）</w:t>
      </w:r>
    </w:p>
    <w:p w14:paraId="368045A0">
      <w:pPr>
        <w:spacing w:line="312" w:lineRule="exact"/>
        <w:ind w:left="1470" w:hanging="1470" w:hangingChars="700"/>
        <w:rPr>
          <w:rFonts w:ascii="Times New Roman" w:hAnsi="Times New Roman" w:eastAsiaTheme="minorEastAsia"/>
          <w:szCs w:val="21"/>
          <w:highlight w:val="none"/>
        </w:rPr>
      </w:pPr>
      <w:r>
        <w:rPr>
          <w:rFonts w:ascii="Times New Roman" w:hAnsi="Times New Roman" w:eastAsiaTheme="minorEastAsia"/>
          <w:szCs w:val="21"/>
          <w:highlight w:val="none"/>
        </w:rPr>
        <w:t>式中：</w:t>
      </w:r>
      <w:r>
        <w:rPr>
          <w:rFonts w:ascii="Times New Roman" w:hAnsi="Times New Roman" w:eastAsiaTheme="minorEastAsia"/>
          <w:position w:val="-12"/>
          <w:szCs w:val="21"/>
          <w:highlight w:val="none"/>
        </w:rPr>
        <w:object>
          <v:shape id="_x0000_i1104" o:spt="75" type="#_x0000_t75" style="height:18.45pt;width:19.7pt;" o:ole="t" filled="f" o:preferrelative="t" stroked="f" coordsize="21600,21600">
            <v:path/>
            <v:fill on="f" focussize="0,0"/>
            <v:stroke on="f" joinstyle="miter"/>
            <v:imagedata r:id="rId164" o:title=""/>
            <o:lock v:ext="edit" aspectratio="t"/>
            <w10:wrap type="none"/>
            <w10:anchorlock/>
          </v:shape>
          <o:OLEObject Type="Embed" ProgID="Equation.3" ShapeID="_x0000_i1104" DrawAspect="Content" ObjectID="_1468075804" r:id="rId163">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单桩竖向极限承载力标准值</w:t>
      </w:r>
      <w:r>
        <w:rPr>
          <w:rFonts w:hint="eastAsia"/>
          <w:bCs/>
          <w:szCs w:val="18"/>
          <w:highlight w:val="none"/>
          <w:lang w:eastAsia="zh-CN"/>
        </w:rPr>
        <w:t>（</w:t>
      </w:r>
      <w:r>
        <w:rPr>
          <w:rFonts w:hint="default" w:ascii="Times New Roman" w:hAnsi="Times New Roman" w:cs="Times New Roman"/>
          <w:bCs/>
          <w:szCs w:val="18"/>
          <w:highlight w:val="none"/>
        </w:rPr>
        <w:t>k</w:t>
      </w:r>
      <w:r>
        <w:rPr>
          <w:rFonts w:hint="eastAsia" w:ascii="Times New Roman" w:hAnsi="Times New Roman" w:cs="Times New Roman"/>
          <w:bCs/>
          <w:szCs w:val="18"/>
          <w:highlight w:val="none"/>
          <w:lang w:val="en-US" w:eastAsia="zh-CN"/>
        </w:rPr>
        <w:t>N</w:t>
      </w:r>
      <w:r>
        <w:rPr>
          <w:rFonts w:hint="eastAsia"/>
          <w:bCs/>
          <w:szCs w:val="18"/>
          <w:highlight w:val="none"/>
          <w:lang w:eastAsia="zh-CN"/>
        </w:rPr>
        <w:t>）</w:t>
      </w:r>
      <w:r>
        <w:rPr>
          <w:rFonts w:ascii="Times New Roman" w:hAnsi="Times New Roman" w:eastAsiaTheme="minorEastAsia"/>
          <w:szCs w:val="21"/>
          <w:highlight w:val="none"/>
        </w:rPr>
        <w:t>；</w:t>
      </w:r>
    </w:p>
    <w:p w14:paraId="56E22C4A">
      <w:pPr>
        <w:spacing w:line="312" w:lineRule="exact"/>
        <w:ind w:firstLine="630" w:firstLineChars="300"/>
        <w:rPr>
          <w:rFonts w:ascii="Times New Roman" w:hAnsi="Times New Roman" w:eastAsiaTheme="minorEastAsia"/>
          <w:szCs w:val="21"/>
          <w:highlight w:val="none"/>
        </w:rPr>
      </w:pPr>
      <w:r>
        <w:rPr>
          <w:rFonts w:ascii="Times New Roman" w:hAnsi="Times New Roman" w:eastAsiaTheme="minorEastAsia"/>
          <w:position w:val="-4"/>
          <w:szCs w:val="21"/>
          <w:highlight w:val="none"/>
        </w:rPr>
        <w:object>
          <v:shape id="_x0000_i1105" o:spt="75" type="#_x0000_t75" style="height:12.45pt;width:12.45pt;" o:ole="t" filled="f" o:preferrelative="t" stroked="f" coordsize="21600,21600">
            <v:path/>
            <v:fill on="f" focussize="0,0"/>
            <v:stroke on="f" joinstyle="miter"/>
            <v:imagedata r:id="rId166" o:title=""/>
            <o:lock v:ext="edit" aspectratio="t"/>
            <w10:wrap type="none"/>
            <w10:anchorlock/>
          </v:shape>
          <o:OLEObject Type="Embed" ProgID="Equation.3" ShapeID="_x0000_i1105" DrawAspect="Content" ObjectID="_1468075805" r:id="rId165">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安全系数，取值为2。</w:t>
      </w:r>
    </w:p>
    <w:p w14:paraId="5EF8EED2">
      <w:pPr>
        <w:spacing w:line="312" w:lineRule="exact"/>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.3.</w:t>
      </w:r>
      <w:r>
        <w:rPr>
          <w:rFonts w:hint="default" w:ascii="Times New Roman" w:hAnsi="Times New Roman" w:eastAsia="黑体"/>
          <w:b/>
          <w:bCs/>
          <w:kern w:val="0"/>
          <w:szCs w:val="21"/>
          <w:highlight w:val="none"/>
        </w:rPr>
        <w:t>7</w:t>
      </w:r>
      <w:r>
        <w:rPr>
          <w:rFonts w:ascii="Times New Roman" w:hAnsi="Times New Roman" w:eastAsiaTheme="minorEastAsia"/>
          <w:b/>
          <w:szCs w:val="21"/>
          <w:highlight w:val="none"/>
        </w:rPr>
        <w:t xml:space="preserve"> </w:t>
      </w:r>
      <w:r>
        <w:rPr>
          <w:rFonts w:hint="eastAsia" w:ascii="Times New Roman" w:hAnsi="Times New Roman" w:eastAsiaTheme="minorEastAsia"/>
          <w:szCs w:val="21"/>
          <w:highlight w:val="none"/>
        </w:rPr>
        <w:t>单桩竖向极限承载力标准值应通过单桩静载荷试验确定</w:t>
      </w:r>
      <w:r>
        <w:rPr>
          <w:rFonts w:hint="eastAsia" w:ascii="Times New Roman" w:hAnsi="Times New Roman" w:eastAsiaTheme="minorEastAsia"/>
          <w:szCs w:val="21"/>
          <w:highlight w:val="none"/>
          <w:lang w:eastAsia="zh-CN"/>
        </w:rPr>
        <w:t>。</w:t>
      </w:r>
      <w:r>
        <w:rPr>
          <w:rFonts w:hint="eastAsia" w:ascii="Times New Roman" w:hAnsi="Times New Roman" w:eastAsiaTheme="minorEastAsia"/>
          <w:szCs w:val="21"/>
          <w:highlight w:val="none"/>
        </w:rPr>
        <w:t>单桩竖向抗压静载荷试验应采用慢速维持荷载法</w:t>
      </w:r>
      <w:r>
        <w:rPr>
          <w:rFonts w:hint="eastAsia" w:ascii="Times New Roman" w:hAnsi="Times New Roman" w:eastAsiaTheme="minorEastAsia"/>
          <w:szCs w:val="21"/>
          <w:highlight w:val="none"/>
          <w:lang w:eastAsia="zh-CN"/>
        </w:rPr>
        <w:t>。</w:t>
      </w:r>
    </w:p>
    <w:p w14:paraId="47745BAE">
      <w:pPr>
        <w:snapToGrid/>
        <w:spacing w:line="312" w:lineRule="exact"/>
        <w:ind w:firstLine="0" w:firstLineChars="0"/>
        <w:jc w:val="left"/>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.3.</w:t>
      </w:r>
      <w:r>
        <w:rPr>
          <w:rFonts w:hint="default" w:ascii="Times New Roman" w:hAnsi="Times New Roman" w:eastAsia="黑体"/>
          <w:b/>
          <w:bCs/>
          <w:kern w:val="0"/>
          <w:szCs w:val="21"/>
          <w:highlight w:val="none"/>
          <w:lang w:val="en-US" w:eastAsia="zh-CN"/>
        </w:rPr>
        <w:t>8</w:t>
      </w:r>
      <w:r>
        <w:rPr>
          <w:rFonts w:ascii="Times New Roman" w:hAnsi="Times New Roman" w:eastAsiaTheme="minorEastAsia"/>
          <w:b/>
          <w:szCs w:val="21"/>
          <w:highlight w:val="none"/>
        </w:rPr>
        <w:t xml:space="preserve"> </w:t>
      </w:r>
      <w:r>
        <w:rPr>
          <w:rFonts w:hint="default" w:ascii="Times New Roman" w:hAnsi="Times New Roman" w:eastAsiaTheme="minorEastAsia"/>
          <w:szCs w:val="21"/>
          <w:highlight w:val="none"/>
        </w:rPr>
        <w:t>当</w:t>
      </w:r>
      <w:r>
        <w:rPr>
          <w:rFonts w:hint="eastAsia" w:ascii="Times New Roman" w:hAnsi="Times New Roman" w:eastAsiaTheme="minorEastAsia"/>
          <w:szCs w:val="21"/>
          <w:highlight w:val="none"/>
          <w:lang w:val="en-US" w:eastAsia="zh-CN"/>
        </w:rPr>
        <w:t>预制桩植桩</w:t>
      </w:r>
      <w:r>
        <w:rPr>
          <w:rFonts w:ascii="Times New Roman" w:hAnsi="Times New Roman" w:eastAsiaTheme="minorEastAsia"/>
          <w:szCs w:val="21"/>
          <w:highlight w:val="none"/>
        </w:rPr>
        <w:t>根据土的物理指标与承载力参数之间的经验关系</w:t>
      </w:r>
      <w:r>
        <w:rPr>
          <w:rFonts w:hint="eastAsia" w:ascii="Times New Roman" w:hAnsi="Times New Roman" w:eastAsiaTheme="minorEastAsia"/>
          <w:szCs w:val="21"/>
          <w:highlight w:val="none"/>
          <w:lang w:val="en-US" w:eastAsia="zh-CN"/>
        </w:rPr>
        <w:t>预估</w:t>
      </w:r>
      <w:r>
        <w:rPr>
          <w:rFonts w:ascii="Times New Roman" w:hAnsi="Times New Roman" w:eastAsiaTheme="minorEastAsia"/>
          <w:szCs w:val="21"/>
          <w:highlight w:val="none"/>
        </w:rPr>
        <w:t>预制桩</w:t>
      </w:r>
      <w:r>
        <w:rPr>
          <w:rFonts w:hint="eastAsia" w:ascii="Times New Roman" w:hAnsi="Times New Roman" w:eastAsiaTheme="minorEastAsia"/>
          <w:szCs w:val="21"/>
          <w:highlight w:val="none"/>
          <w:lang w:val="en-US" w:eastAsia="zh-CN"/>
        </w:rPr>
        <w:t>植桩</w:t>
      </w:r>
      <w:r>
        <w:rPr>
          <w:rFonts w:ascii="Times New Roman" w:hAnsi="Times New Roman" w:eastAsiaTheme="minorEastAsia"/>
          <w:szCs w:val="21"/>
          <w:highlight w:val="none"/>
        </w:rPr>
        <w:t>单桩竖向极限承载力标准值时，宜按下式估算</w:t>
      </w:r>
      <w:r>
        <w:rPr>
          <w:rFonts w:hint="eastAsia" w:ascii="Times New Roman" w:hAnsi="Times New Roman" w:eastAsiaTheme="minorEastAsia"/>
          <w:szCs w:val="21"/>
          <w:highlight w:val="none"/>
          <w:lang w:eastAsia="zh-CN"/>
        </w:rPr>
        <w:t>：</w:t>
      </w:r>
    </w:p>
    <w:p w14:paraId="0DE85965">
      <w:pPr>
        <w:keepNext w:val="0"/>
        <w:keepLines w:val="0"/>
        <w:pageBreakBefore w:val="0"/>
        <w:widowControl w:val="0"/>
        <w:kinsoku/>
        <w:wordWrap/>
        <w:overflowPunct/>
        <w:topLinePunct w:val="0"/>
        <w:autoSpaceDE/>
        <w:autoSpaceDN/>
        <w:bidi w:val="0"/>
        <w:adjustRightInd/>
        <w:snapToGrid/>
        <w:spacing w:line="312" w:lineRule="exact"/>
        <w:ind w:firstLine="422" w:firstLineChars="200"/>
        <w:jc w:val="left"/>
        <w:textAlignment w:val="auto"/>
        <w:rPr>
          <w:rFonts w:hint="default" w:ascii="Times New Roman" w:hAnsi="Times New Roman" w:eastAsiaTheme="minorEastAsia"/>
          <w:szCs w:val="21"/>
          <w:highlight w:val="yellow"/>
          <w:lang w:val="en-US" w:eastAsia="zh-CN"/>
        </w:rPr>
      </w:pPr>
      <w:r>
        <w:rPr>
          <w:rFonts w:hint="eastAsia" w:ascii="Times New Roman" w:hAnsi="Times New Roman" w:eastAsia="黑体"/>
          <w:b/>
          <w:bCs/>
          <w:kern w:val="0"/>
          <w:szCs w:val="21"/>
          <w:highlight w:val="none"/>
          <w:lang w:val="en-US" w:eastAsia="zh-CN"/>
        </w:rPr>
        <w:t>1</w:t>
      </w:r>
      <w:r>
        <w:rPr>
          <w:rFonts w:hint="eastAsia" w:ascii="Times New Roman" w:hAnsi="Times New Roman" w:eastAsiaTheme="minorEastAsia"/>
          <w:color w:val="auto"/>
          <w:szCs w:val="21"/>
          <w:highlight w:val="none"/>
          <w:lang w:val="en-US" w:eastAsia="zh-CN"/>
        </w:rPr>
        <w:t xml:space="preserve"> 对于搅拌植桩、高压旋喷植桩、非嵌岩旋挖植桩和长螺旋压灌植桩：</w:t>
      </w:r>
    </w:p>
    <w:p w14:paraId="75E4754B">
      <w:pPr>
        <w:keepNext w:val="0"/>
        <w:keepLines w:val="0"/>
        <w:pageBreakBefore w:val="0"/>
        <w:widowControl w:val="0"/>
        <w:kinsoku/>
        <w:wordWrap/>
        <w:overflowPunct/>
        <w:topLinePunct w:val="0"/>
        <w:autoSpaceDE/>
        <w:autoSpaceDN/>
        <w:bidi w:val="0"/>
        <w:adjustRightInd/>
        <w:snapToGrid w:val="0"/>
        <w:spacing w:line="276" w:lineRule="auto"/>
        <w:ind w:left="0" w:leftChars="0" w:right="0"/>
        <w:jc w:val="right"/>
        <w:textAlignment w:val="auto"/>
        <w:rPr>
          <w:rFonts w:ascii="Times New Roman" w:hAnsi="Times New Roman" w:eastAsiaTheme="minorEastAsia"/>
          <w:szCs w:val="21"/>
          <w:highlight w:val="none"/>
        </w:rPr>
      </w:pPr>
      <w:r>
        <w:rPr>
          <w:rFonts w:ascii="Times New Roman" w:hAnsi="Times New Roman" w:eastAsiaTheme="minorEastAsia"/>
          <w:position w:val="-14"/>
          <w:szCs w:val="21"/>
          <w:highlight w:val="none"/>
        </w:rPr>
        <w:object>
          <v:shape id="_x0000_i1106" o:spt="75" type="#_x0000_t75" style="height:19.4pt;width:114.15pt;" o:ole="t" filled="f" o:preferrelative="t" stroked="f" coordsize="21600,21600">
            <v:path/>
            <v:fill on="f" focussize="0,0"/>
            <v:stroke on="f"/>
            <v:imagedata r:id="rId168" o:title=""/>
            <o:lock v:ext="edit" aspectratio="t"/>
            <w10:wrap type="none"/>
            <w10:anchorlock/>
          </v:shape>
          <o:OLEObject Type="Embed" ProgID="Equation.3" ShapeID="_x0000_i1106" DrawAspect="Content" ObjectID="_1468075806" r:id="rId167">
            <o:LockedField>false</o:LockedField>
          </o:OLEObject>
        </w:object>
      </w:r>
      <w:r>
        <w:rPr>
          <w:rFonts w:hint="eastAsia"/>
          <w:bCs/>
          <w:position w:val="-14"/>
          <w:szCs w:val="18"/>
          <w:highlight w:val="none"/>
        </w:rPr>
        <w:t xml:space="preserve">   </w:t>
      </w:r>
      <w:r>
        <w:rPr>
          <w:bCs/>
          <w:position w:val="-14"/>
          <w:szCs w:val="18"/>
          <w:highlight w:val="none"/>
        </w:rPr>
        <w:t xml:space="preserve">  </w:t>
      </w:r>
      <w:r>
        <w:rPr>
          <w:rFonts w:hint="eastAsia"/>
          <w:bCs/>
          <w:position w:val="-14"/>
          <w:szCs w:val="18"/>
          <w:highlight w:val="none"/>
        </w:rPr>
        <w:t xml:space="preserve">    </w:t>
      </w:r>
      <w:r>
        <w:rPr>
          <w:rFonts w:hint="eastAsia"/>
          <w:bCs/>
          <w:position w:val="-14"/>
          <w:szCs w:val="18"/>
          <w:highlight w:val="none"/>
          <w:lang w:val="en-US" w:eastAsia="zh-CN"/>
        </w:rPr>
        <w:t xml:space="preserve">  </w:t>
      </w:r>
      <w:r>
        <w:rPr>
          <w:rFonts w:hint="eastAsia"/>
          <w:bCs/>
          <w:position w:val="-14"/>
          <w:szCs w:val="18"/>
          <w:highlight w:val="none"/>
        </w:rPr>
        <w:t xml:space="preserve"> </w:t>
      </w:r>
      <w:r>
        <w:rPr>
          <w:rFonts w:ascii="Times New Roman" w:hAnsi="Times New Roman" w:eastAsiaTheme="minorEastAsia"/>
          <w:szCs w:val="21"/>
          <w:highlight w:val="none"/>
        </w:rPr>
        <w:t>(</w:t>
      </w:r>
      <w:r>
        <w:rPr>
          <w:rFonts w:hint="eastAsia" w:ascii="Times New Roman" w:hAnsi="Times New Roman" w:eastAsiaTheme="minorEastAsia"/>
          <w:szCs w:val="21"/>
          <w:highlight w:val="none"/>
          <w:lang w:val="en-US" w:eastAsia="zh-CN"/>
        </w:rPr>
        <w:t>4.3.8-1</w:t>
      </w:r>
      <w:r>
        <w:rPr>
          <w:rFonts w:ascii="Times New Roman" w:hAnsi="Times New Roman" w:eastAsiaTheme="minorEastAsia"/>
          <w:szCs w:val="21"/>
          <w:highlight w:val="none"/>
        </w:rPr>
        <w:t>)</w:t>
      </w:r>
    </w:p>
    <w:p w14:paraId="1C67DF26">
      <w:pPr>
        <w:snapToGrid w:val="0"/>
        <w:spacing w:line="276" w:lineRule="auto"/>
        <w:ind w:left="0" w:leftChars="0" w:right="420"/>
        <w:rPr>
          <w:bCs/>
          <w:szCs w:val="18"/>
          <w:highlight w:val="none"/>
        </w:rPr>
      </w:pPr>
      <w:r>
        <w:rPr>
          <w:bCs/>
          <w:szCs w:val="18"/>
          <w:highlight w:val="none"/>
        </w:rPr>
        <w:t>式中：</w:t>
      </w:r>
    </w:p>
    <w:p w14:paraId="03F709F8">
      <w:pPr>
        <w:keepNext w:val="0"/>
        <w:keepLines w:val="0"/>
        <w:pageBreakBefore w:val="0"/>
        <w:widowControl w:val="0"/>
        <w:kinsoku/>
        <w:wordWrap/>
        <w:overflowPunct/>
        <w:topLinePunct w:val="0"/>
        <w:autoSpaceDE/>
        <w:autoSpaceDN/>
        <w:bidi w:val="0"/>
        <w:adjustRightInd/>
        <w:snapToGrid w:val="0"/>
        <w:spacing w:line="320" w:lineRule="exact"/>
        <w:ind w:left="0" w:leftChars="0" w:firstLine="630" w:firstLineChars="300"/>
        <w:textAlignment w:val="auto"/>
        <w:rPr>
          <w:bCs/>
          <w:szCs w:val="18"/>
          <w:highlight w:val="none"/>
        </w:rPr>
      </w:pPr>
      <w:r>
        <w:rPr>
          <w:rFonts w:ascii="Times New Roman" w:hAnsi="Times New Roman" w:eastAsiaTheme="minorEastAsia"/>
          <w:position w:val="-12"/>
          <w:szCs w:val="21"/>
          <w:highlight w:val="none"/>
        </w:rPr>
        <w:object>
          <v:shape id="_x0000_i1107" o:spt="75" type="#_x0000_t75" style="height:17.5pt;width:19.4pt;" o:ole="t" filled="f" o:preferrelative="t" stroked="f" coordsize="21600,21600">
            <v:path/>
            <v:fill on="f" focussize="0,0"/>
            <v:stroke on="f"/>
            <v:imagedata r:id="rId170" o:title=""/>
            <o:lock v:ext="edit" aspectratio="t"/>
            <w10:wrap type="none"/>
            <w10:anchorlock/>
          </v:shape>
          <o:OLEObject Type="Embed" ProgID="Equation.3" ShapeID="_x0000_i1107" DrawAspect="Content" ObjectID="_1468075807" r:id="rId169">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桩侧</w:t>
      </w:r>
      <w:r>
        <w:rPr>
          <w:rFonts w:hint="eastAsia"/>
          <w:bCs/>
          <w:szCs w:val="18"/>
          <w:highlight w:val="none"/>
        </w:rPr>
        <w:t>第</w:t>
      </w:r>
      <w:r>
        <w:rPr>
          <w:bCs/>
          <w:i/>
          <w:iCs/>
          <w:szCs w:val="18"/>
          <w:highlight w:val="none"/>
        </w:rPr>
        <w:t>i</w:t>
      </w:r>
      <w:r>
        <w:rPr>
          <w:rFonts w:hint="eastAsia"/>
          <w:bCs/>
          <w:szCs w:val="18"/>
          <w:highlight w:val="none"/>
        </w:rPr>
        <w:t>土层极限侧阻力标准值</w:t>
      </w:r>
      <w:r>
        <w:rPr>
          <w:rFonts w:hint="eastAsia"/>
          <w:bCs/>
          <w:szCs w:val="18"/>
          <w:highlight w:val="none"/>
          <w:lang w:eastAsia="zh-CN"/>
        </w:rPr>
        <w:t>（</w:t>
      </w:r>
      <w:r>
        <w:rPr>
          <w:rFonts w:hint="default" w:ascii="Times New Roman" w:hAnsi="Times New Roman" w:cs="Times New Roman"/>
          <w:bCs/>
          <w:szCs w:val="18"/>
          <w:highlight w:val="none"/>
        </w:rPr>
        <w:t>kPa</w:t>
      </w:r>
      <w:r>
        <w:rPr>
          <w:rFonts w:hint="eastAsia"/>
          <w:bCs/>
          <w:szCs w:val="18"/>
          <w:highlight w:val="none"/>
          <w:lang w:eastAsia="zh-CN"/>
        </w:rPr>
        <w:t>），</w:t>
      </w:r>
      <w:r>
        <w:rPr>
          <w:rFonts w:hint="eastAsia"/>
          <w:bCs/>
          <w:szCs w:val="18"/>
          <w:highlight w:val="none"/>
        </w:rPr>
        <w:t>宜按现场试验或经验取值；无试验资料和地区经验时，</w:t>
      </w:r>
      <w:r>
        <w:rPr>
          <w:rFonts w:hint="eastAsia"/>
          <w:bCs/>
          <w:szCs w:val="18"/>
          <w:highlight w:val="none"/>
          <w:lang w:val="en-US" w:eastAsia="zh-CN"/>
        </w:rPr>
        <w:t>可按</w:t>
      </w:r>
      <w:r>
        <w:rPr>
          <w:rFonts w:hint="eastAsia"/>
          <w:bCs/>
          <w:szCs w:val="18"/>
          <w:highlight w:val="none"/>
        </w:rPr>
        <w:t>表</w:t>
      </w:r>
      <w:r>
        <w:rPr>
          <w:rFonts w:hint="eastAsia" w:ascii="Times New Roman" w:hAnsi="Times New Roman" w:cs="Times New Roman"/>
          <w:bCs/>
          <w:szCs w:val="18"/>
          <w:highlight w:val="none"/>
          <w:lang w:val="en-US" w:eastAsia="zh-CN"/>
        </w:rPr>
        <w:t>4.3.8-1</w:t>
      </w:r>
      <w:r>
        <w:rPr>
          <w:rFonts w:hint="eastAsia"/>
          <w:bCs/>
          <w:szCs w:val="18"/>
          <w:highlight w:val="none"/>
        </w:rPr>
        <w:t>中的灌注桩高值</w:t>
      </w:r>
      <w:r>
        <w:rPr>
          <w:rFonts w:hint="eastAsia"/>
          <w:bCs/>
          <w:szCs w:val="18"/>
          <w:highlight w:val="none"/>
          <w:lang w:val="en-US" w:eastAsia="zh-CN"/>
        </w:rPr>
        <w:t>取值</w:t>
      </w:r>
      <w:r>
        <w:rPr>
          <w:bCs/>
          <w:szCs w:val="18"/>
          <w:highlight w:val="none"/>
        </w:rPr>
        <w:t>；</w:t>
      </w:r>
    </w:p>
    <w:p w14:paraId="560D4BD7">
      <w:pPr>
        <w:keepNext w:val="0"/>
        <w:keepLines w:val="0"/>
        <w:pageBreakBefore w:val="0"/>
        <w:widowControl w:val="0"/>
        <w:kinsoku/>
        <w:wordWrap/>
        <w:overflowPunct/>
        <w:topLinePunct w:val="0"/>
        <w:autoSpaceDE/>
        <w:autoSpaceDN/>
        <w:bidi w:val="0"/>
        <w:adjustRightInd/>
        <w:snapToGrid w:val="0"/>
        <w:spacing w:line="240" w:lineRule="auto"/>
        <w:ind w:left="0" w:leftChars="0" w:firstLine="630" w:firstLineChars="300"/>
        <w:textAlignment w:val="auto"/>
        <w:rPr>
          <w:bCs/>
          <w:szCs w:val="18"/>
          <w:highlight w:val="none"/>
        </w:rPr>
      </w:pPr>
      <w:r>
        <w:rPr>
          <w:bCs/>
          <w:position w:val="-14"/>
          <w:szCs w:val="18"/>
          <w:highlight w:val="none"/>
        </w:rPr>
        <w:object>
          <v:shape id="_x0000_i1108" o:spt="75" type="#_x0000_t75" style="height:18pt;width:17.1pt;" o:ole="t" filled="f" o:preferrelative="t" stroked="f" coordsize="21600,21600">
            <v:path/>
            <v:fill on="f" focussize="0,0"/>
            <v:stroke on="f"/>
            <v:imagedata r:id="rId172" o:title=""/>
            <o:lock v:ext="edit" aspectratio="t"/>
            <w10:wrap type="none"/>
            <w10:anchorlock/>
          </v:shape>
          <o:OLEObject Type="Embed" ProgID="Equation.3" ShapeID="_x0000_i1108" DrawAspect="Content" ObjectID="_1468075808" r:id="rId171">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bCs/>
          <w:szCs w:val="18"/>
          <w:highlight w:val="none"/>
        </w:rPr>
        <w:t>极限端阻力标准值</w:t>
      </w:r>
      <w:r>
        <w:rPr>
          <w:rFonts w:hint="eastAsia"/>
          <w:bCs/>
          <w:szCs w:val="18"/>
          <w:highlight w:val="none"/>
          <w:lang w:eastAsia="zh-CN"/>
        </w:rPr>
        <w:t>（</w:t>
      </w:r>
      <w:r>
        <w:rPr>
          <w:rFonts w:hint="default" w:ascii="Times New Roman" w:hAnsi="Times New Roman" w:cs="Times New Roman"/>
          <w:bCs/>
          <w:szCs w:val="18"/>
          <w:highlight w:val="none"/>
        </w:rPr>
        <w:t>kPa</w:t>
      </w:r>
      <w:r>
        <w:rPr>
          <w:rFonts w:hint="eastAsia"/>
          <w:bCs/>
          <w:szCs w:val="18"/>
          <w:highlight w:val="none"/>
          <w:lang w:eastAsia="zh-CN"/>
        </w:rPr>
        <w:t>），</w:t>
      </w:r>
      <w:r>
        <w:rPr>
          <w:rFonts w:hint="eastAsia"/>
          <w:bCs/>
          <w:szCs w:val="18"/>
          <w:highlight w:val="none"/>
        </w:rPr>
        <w:t>宜按现场试验或经验取值；无试验资料和地区经验时，可按表</w:t>
      </w:r>
      <w:r>
        <w:rPr>
          <w:rFonts w:hint="eastAsia" w:ascii="Times New Roman" w:hAnsi="Times New Roman" w:cs="Times New Roman"/>
          <w:bCs/>
          <w:szCs w:val="18"/>
          <w:highlight w:val="none"/>
          <w:lang w:val="en-US" w:eastAsia="zh-CN"/>
        </w:rPr>
        <w:t>4.3.8-1</w:t>
      </w:r>
      <w:r>
        <w:rPr>
          <w:rFonts w:hint="eastAsia"/>
          <w:bCs/>
          <w:szCs w:val="18"/>
          <w:highlight w:val="none"/>
        </w:rPr>
        <w:t>中的混凝土预制桩取值，也可根据标准贯入试验成果按表</w:t>
      </w:r>
      <w:r>
        <w:rPr>
          <w:rFonts w:hint="eastAsia" w:ascii="Times New Roman" w:hAnsi="Times New Roman" w:cs="Times New Roman"/>
          <w:bCs/>
          <w:szCs w:val="18"/>
          <w:highlight w:val="none"/>
          <w:lang w:val="en-US" w:eastAsia="zh-CN"/>
        </w:rPr>
        <w:t>4.3.8-2</w:t>
      </w:r>
      <w:r>
        <w:rPr>
          <w:rFonts w:hint="eastAsia"/>
          <w:bCs/>
          <w:szCs w:val="18"/>
          <w:highlight w:val="none"/>
        </w:rPr>
        <w:t>取值；</w:t>
      </w:r>
    </w:p>
    <w:p w14:paraId="29569444">
      <w:pPr>
        <w:keepNext w:val="0"/>
        <w:keepLines w:val="0"/>
        <w:pageBreakBefore w:val="0"/>
        <w:widowControl w:val="0"/>
        <w:kinsoku/>
        <w:wordWrap/>
        <w:overflowPunct/>
        <w:topLinePunct w:val="0"/>
        <w:autoSpaceDE/>
        <w:autoSpaceDN/>
        <w:bidi w:val="0"/>
        <w:adjustRightInd/>
        <w:snapToGrid w:val="0"/>
        <w:spacing w:line="360" w:lineRule="exact"/>
        <w:ind w:left="0" w:leftChars="0" w:firstLine="630" w:firstLineChars="300"/>
        <w:textAlignment w:val="auto"/>
        <w:rPr>
          <w:bCs/>
          <w:szCs w:val="18"/>
          <w:highlight w:val="yellow"/>
        </w:rPr>
      </w:pPr>
      <w:r>
        <w:rPr>
          <w:bCs/>
          <w:position w:val="-14"/>
          <w:szCs w:val="18"/>
          <w:highlight w:val="none"/>
        </w:rPr>
        <w:object>
          <v:shape id="_x0000_i1109" o:spt="75" type="#_x0000_t75" style="height:18pt;width:18pt;" o:ole="t" filled="f" o:preferrelative="t" stroked="f" coordsize="21600,21600">
            <v:path/>
            <v:fill on="f" focussize="0,0"/>
            <v:stroke on="f"/>
            <v:imagedata r:id="rId174" o:title=""/>
            <o:lock v:ext="edit" aspectratio="t"/>
            <w10:wrap type="none"/>
            <w10:anchorlock/>
          </v:shape>
          <o:OLEObject Type="Embed" ProgID="Equation.3" ShapeID="_x0000_i1109" DrawAspect="Content" ObjectID="_1468075809" r:id="rId173">
            <o:LockedField>false</o:LockedField>
          </o:OLEObject>
        </w:object>
      </w:r>
      <w:r>
        <w:rPr>
          <w:rFonts w:ascii="Times New Roman" w:hAnsi="Times New Roman" w:cs="Times New Roman" w:eastAsiaTheme="minorEastAsia"/>
          <w:szCs w:val="21"/>
          <w:highlight w:val="none"/>
          <w:shd w:val="clear" w:color="auto" w:fill="FFFFFF"/>
        </w:rPr>
        <w:t>——</w:t>
      </w:r>
      <w:r>
        <w:rPr>
          <w:rFonts w:hint="eastAsia" w:eastAsiaTheme="minorEastAsia"/>
          <w:bCs/>
          <w:szCs w:val="18"/>
          <w:highlight w:val="none"/>
          <w:lang w:val="en-US" w:eastAsia="zh-CN"/>
        </w:rPr>
        <w:t>芯桩全</w:t>
      </w:r>
      <w:r>
        <w:rPr>
          <w:bCs/>
          <w:szCs w:val="18"/>
          <w:highlight w:val="none"/>
        </w:rPr>
        <w:t>截面面积</w:t>
      </w:r>
      <w:r>
        <w:rPr>
          <w:rFonts w:hint="eastAsia"/>
          <w:bCs/>
          <w:szCs w:val="18"/>
          <w:highlight w:val="none"/>
          <w:lang w:eastAsia="zh-CN"/>
        </w:rPr>
        <w:t>（</w:t>
      </w:r>
      <w:r>
        <w:rPr>
          <w:rFonts w:hint="default" w:ascii="Times New Roman" w:hAnsi="Times New Roman" w:cs="Times New Roman"/>
          <w:bCs/>
          <w:szCs w:val="18"/>
          <w:highlight w:val="none"/>
        </w:rPr>
        <w:t>㎡</w:t>
      </w:r>
      <w:r>
        <w:rPr>
          <w:rFonts w:hint="eastAsia"/>
          <w:bCs/>
          <w:szCs w:val="18"/>
          <w:highlight w:val="none"/>
          <w:lang w:eastAsia="zh-CN"/>
        </w:rPr>
        <w:t>）</w:t>
      </w:r>
      <w:r>
        <w:rPr>
          <w:rFonts w:hint="eastAsia"/>
          <w:bCs/>
          <w:szCs w:val="18"/>
          <w:highlight w:val="none"/>
        </w:rPr>
        <w:t>，取</w:t>
      </w:r>
      <w:r>
        <w:rPr>
          <w:rFonts w:hint="eastAsia"/>
          <w:highlight w:val="none"/>
          <w:lang w:eastAsia="zh-CN"/>
        </w:rPr>
        <w:t>芯桩</w:t>
      </w:r>
      <w:r>
        <w:rPr>
          <w:rFonts w:hint="eastAsia"/>
          <w:kern w:val="0"/>
          <w:highlight w:val="none"/>
        </w:rPr>
        <w:t>由外径或边长计算得到的面积</w:t>
      </w:r>
      <w:r>
        <w:rPr>
          <w:bCs/>
          <w:szCs w:val="18"/>
          <w:highlight w:val="none"/>
        </w:rPr>
        <w:t>；</w:t>
      </w:r>
    </w:p>
    <w:p w14:paraId="7E5492C2">
      <w:pPr>
        <w:keepNext w:val="0"/>
        <w:keepLines w:val="0"/>
        <w:pageBreakBefore w:val="0"/>
        <w:widowControl w:val="0"/>
        <w:kinsoku/>
        <w:wordWrap/>
        <w:overflowPunct/>
        <w:topLinePunct w:val="0"/>
        <w:autoSpaceDE/>
        <w:autoSpaceDN/>
        <w:bidi w:val="0"/>
        <w:adjustRightInd/>
        <w:snapToGrid w:val="0"/>
        <w:spacing w:line="320" w:lineRule="exact"/>
        <w:ind w:left="0" w:leftChars="0" w:firstLine="630" w:firstLineChars="300"/>
        <w:textAlignment w:val="auto"/>
        <w:rPr>
          <w:bCs/>
          <w:strike/>
          <w:szCs w:val="18"/>
          <w:highlight w:val="none"/>
        </w:rPr>
      </w:pPr>
      <w:r>
        <w:rPr>
          <w:rFonts w:ascii="Times New Roman" w:hAnsi="Times New Roman" w:eastAsiaTheme="minorEastAsia"/>
          <w:position w:val="-6"/>
          <w:szCs w:val="21"/>
          <w:highlight w:val="none"/>
        </w:rPr>
        <w:object>
          <v:shape id="_x0000_i1110" o:spt="75" type="#_x0000_t75" style="height:10.7pt;width:10.2pt;" o:ole="t" filled="f" o:preferrelative="t" stroked="f" coordsize="21600,21600">
            <v:path/>
            <v:fill on="f" focussize="0,0"/>
            <v:stroke on="f"/>
            <v:imagedata r:id="rId176" o:title=""/>
            <o:lock v:ext="edit" aspectratio="t"/>
            <w10:wrap type="none"/>
            <w10:anchorlock/>
          </v:shape>
          <o:OLEObject Type="Embed" ProgID="Equation.3" ShapeID="_x0000_i1110" DrawAspect="Content" ObjectID="_1468075810" r:id="rId175">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bCs/>
          <w:szCs w:val="18"/>
          <w:highlight w:val="none"/>
        </w:rPr>
        <w:t>外芯周长</w:t>
      </w:r>
      <w:r>
        <w:rPr>
          <w:rFonts w:hint="eastAsia"/>
          <w:bCs/>
          <w:szCs w:val="18"/>
          <w:highlight w:val="none"/>
          <w:lang w:eastAsia="zh-CN"/>
        </w:rPr>
        <w:t>（</w:t>
      </w:r>
      <w:r>
        <w:rPr>
          <w:rFonts w:hint="default" w:ascii="Times New Roman" w:hAnsi="Times New Roman" w:cs="Times New Roman"/>
          <w:bCs/>
          <w:szCs w:val="18"/>
          <w:highlight w:val="none"/>
        </w:rPr>
        <w:t>m</w:t>
      </w:r>
      <w:r>
        <w:rPr>
          <w:rFonts w:hint="eastAsia"/>
          <w:bCs/>
          <w:szCs w:val="18"/>
          <w:highlight w:val="none"/>
          <w:lang w:eastAsia="zh-CN"/>
        </w:rPr>
        <w:t>）</w:t>
      </w:r>
      <w:r>
        <w:rPr>
          <w:rFonts w:hint="eastAsia"/>
          <w:bCs/>
          <w:szCs w:val="18"/>
          <w:highlight w:val="none"/>
        </w:rPr>
        <w:t>；</w:t>
      </w:r>
    </w:p>
    <w:p w14:paraId="2A5EA3D7">
      <w:pPr>
        <w:keepNext w:val="0"/>
        <w:keepLines w:val="0"/>
        <w:pageBreakBefore w:val="0"/>
        <w:widowControl w:val="0"/>
        <w:kinsoku/>
        <w:wordWrap/>
        <w:overflowPunct/>
        <w:topLinePunct w:val="0"/>
        <w:autoSpaceDE/>
        <w:autoSpaceDN/>
        <w:bidi w:val="0"/>
        <w:adjustRightInd/>
        <w:snapToGrid w:val="0"/>
        <w:spacing w:line="320" w:lineRule="exact"/>
        <w:ind w:left="0" w:leftChars="0" w:firstLine="630" w:firstLineChars="300"/>
        <w:textAlignment w:val="auto"/>
        <w:rPr>
          <w:rFonts w:hint="eastAsia" w:eastAsia="宋体"/>
          <w:bCs/>
          <w:szCs w:val="18"/>
          <w:highlight w:val="none"/>
          <w:lang w:eastAsia="zh-CN"/>
        </w:rPr>
      </w:pPr>
      <w:r>
        <w:rPr>
          <w:bCs/>
          <w:position w:val="-12"/>
          <w:szCs w:val="18"/>
          <w:highlight w:val="none"/>
          <w:vertAlign w:val="subscript"/>
        </w:rPr>
        <w:object>
          <v:shape id="_x0000_i1111" o:spt="75" type="#_x0000_t75" style="height:18.1pt;width:12pt;" o:ole="t" filled="f" o:preferrelative="t" stroked="f" coordsize="21600,21600">
            <v:path/>
            <v:fill on="f" focussize="0,0"/>
            <v:stroke on="f"/>
            <v:imagedata r:id="rId178" o:title=""/>
            <o:lock v:ext="edit" aspectratio="t"/>
            <w10:wrap type="none"/>
            <w10:anchorlock/>
          </v:shape>
          <o:OLEObject Type="Embed" ProgID="Equation.3" ShapeID="_x0000_i1111" DrawAspect="Content" ObjectID="_1468075811" r:id="rId177">
            <o:LockedField>false</o:LockedField>
          </o:OLEObject>
        </w:objec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桩周</w:t>
      </w:r>
      <w:r>
        <w:rPr>
          <w:bCs/>
          <w:szCs w:val="18"/>
          <w:highlight w:val="none"/>
        </w:rPr>
        <w:t>第i层岩土的厚度</w:t>
      </w:r>
      <w:r>
        <w:rPr>
          <w:rFonts w:hint="eastAsia"/>
          <w:bCs/>
          <w:szCs w:val="18"/>
          <w:highlight w:val="none"/>
          <w:lang w:eastAsia="zh-CN"/>
        </w:rPr>
        <w:t>（</w:t>
      </w:r>
      <w:r>
        <w:rPr>
          <w:rFonts w:hint="default" w:ascii="Times New Roman" w:hAnsi="Times New Roman" w:cs="Times New Roman"/>
          <w:bCs/>
          <w:szCs w:val="18"/>
          <w:highlight w:val="none"/>
        </w:rPr>
        <w:t>m</w:t>
      </w:r>
      <w:r>
        <w:rPr>
          <w:rFonts w:hint="eastAsia"/>
          <w:bCs/>
          <w:szCs w:val="18"/>
          <w:highlight w:val="none"/>
          <w:lang w:eastAsia="zh-CN"/>
        </w:rPr>
        <w:t>）。</w:t>
      </w:r>
    </w:p>
    <w:p w14:paraId="1C82D023">
      <w:pPr>
        <w:spacing w:line="360" w:lineRule="auto"/>
        <w:jc w:val="center"/>
        <w:rPr>
          <w:rFonts w:hint="default" w:ascii="Times New Roman" w:hAnsi="Times New Roman" w:eastAsiaTheme="minorEastAsia"/>
          <w:szCs w:val="21"/>
          <w:highlight w:val="none"/>
        </w:rPr>
      </w:pPr>
      <w:r>
        <w:rPr>
          <w:rFonts w:ascii="Times New Roman" w:hAnsi="Times New Roman" w:eastAsia="黑体"/>
          <w:b/>
          <w:sz w:val="18"/>
          <w:szCs w:val="18"/>
          <w:highlight w:val="none"/>
        </w:rPr>
        <w:t>表</w:t>
      </w:r>
      <w:r>
        <w:rPr>
          <w:rFonts w:hint="default" w:ascii="Times New Roman" w:hAnsi="Times New Roman" w:eastAsia="黑体"/>
          <w:b/>
          <w:sz w:val="18"/>
          <w:szCs w:val="18"/>
          <w:highlight w:val="none"/>
        </w:rPr>
        <w:t>4.</w:t>
      </w:r>
      <w:r>
        <w:rPr>
          <w:rFonts w:hint="default" w:ascii="Times New Roman" w:hAnsi="Times New Roman" w:eastAsia="黑体"/>
          <w:b/>
          <w:sz w:val="18"/>
          <w:szCs w:val="18"/>
          <w:highlight w:val="none"/>
          <w:lang w:val="en-US" w:eastAsia="zh-CN"/>
        </w:rPr>
        <w:t>3</w:t>
      </w:r>
      <w:r>
        <w:rPr>
          <w:rFonts w:hint="default" w:ascii="Times New Roman" w:hAnsi="Times New Roman" w:eastAsia="黑体"/>
          <w:b/>
          <w:sz w:val="18"/>
          <w:szCs w:val="18"/>
          <w:highlight w:val="none"/>
        </w:rPr>
        <w:t>.</w:t>
      </w:r>
      <w:r>
        <w:rPr>
          <w:rFonts w:hint="default" w:ascii="Times New Roman" w:hAnsi="Times New Roman" w:eastAsia="黑体"/>
          <w:b/>
          <w:sz w:val="18"/>
          <w:szCs w:val="18"/>
          <w:highlight w:val="none"/>
          <w:lang w:val="en-US" w:eastAsia="zh-CN"/>
        </w:rPr>
        <w:t>8</w:t>
      </w:r>
      <w:r>
        <w:rPr>
          <w:rFonts w:hint="eastAsia" w:ascii="Times New Roman" w:hAnsi="Times New Roman" w:eastAsia="黑体"/>
          <w:b/>
          <w:sz w:val="18"/>
          <w:szCs w:val="18"/>
          <w:highlight w:val="none"/>
          <w:lang w:val="en-US" w:eastAsia="zh-CN"/>
        </w:rPr>
        <w:t>-1</w:t>
      </w:r>
      <w:r>
        <w:rPr>
          <w:rFonts w:ascii="Times New Roman" w:hAnsi="Times New Roman" w:eastAsia="黑体"/>
          <w:b/>
          <w:sz w:val="18"/>
          <w:szCs w:val="18"/>
          <w:highlight w:val="none"/>
        </w:rPr>
        <w:t xml:space="preserve"> 桩</w:t>
      </w:r>
      <w:r>
        <w:rPr>
          <w:rFonts w:hint="default" w:ascii="Times New Roman" w:hAnsi="Times New Roman" w:eastAsia="黑体"/>
          <w:b/>
          <w:sz w:val="18"/>
          <w:szCs w:val="18"/>
          <w:highlight w:val="none"/>
        </w:rPr>
        <w:t>的极限</w:t>
      </w:r>
      <w:r>
        <w:rPr>
          <w:rFonts w:ascii="Times New Roman" w:hAnsi="Times New Roman" w:eastAsia="黑体"/>
          <w:b/>
          <w:sz w:val="18"/>
          <w:szCs w:val="18"/>
          <w:highlight w:val="none"/>
        </w:rPr>
        <w:t>侧阻力</w:t>
      </w:r>
      <w:r>
        <w:rPr>
          <w:rFonts w:hint="default" w:ascii="Times New Roman" w:hAnsi="Times New Roman" w:eastAsia="黑体"/>
          <w:b/>
          <w:sz w:val="18"/>
          <w:szCs w:val="18"/>
          <w:highlight w:val="none"/>
        </w:rPr>
        <w:t>标准值</w:t>
      </w:r>
      <w:r>
        <w:rPr>
          <w:rFonts w:ascii="Times New Roman" w:hAnsi="Times New Roman" w:eastAsia="黑体"/>
          <w:b/>
          <w:i/>
          <w:sz w:val="18"/>
          <w:szCs w:val="18"/>
          <w:highlight w:val="none"/>
        </w:rPr>
        <w:t>q</w:t>
      </w:r>
      <w:r>
        <w:rPr>
          <w:rFonts w:ascii="Times New Roman" w:hAnsi="Times New Roman" w:eastAsia="黑体"/>
          <w:b/>
          <w:i/>
          <w:sz w:val="18"/>
          <w:szCs w:val="18"/>
          <w:highlight w:val="none"/>
          <w:vertAlign w:val="subscript"/>
        </w:rPr>
        <w:t>sk</w:t>
      </w:r>
      <w:r>
        <w:rPr>
          <w:rFonts w:ascii="Times New Roman" w:hAnsi="Times New Roman" w:eastAsia="黑体"/>
          <w:b/>
          <w:sz w:val="18"/>
          <w:szCs w:val="18"/>
          <w:highlight w:val="none"/>
          <w:vertAlign w:val="subscript"/>
        </w:rPr>
        <w:t xml:space="preserve"> </w:t>
      </w:r>
      <w:r>
        <w:rPr>
          <w:rFonts w:ascii="Times New Roman" w:hAnsi="Times New Roman" w:eastAsia="黑体"/>
          <w:b/>
          <w:sz w:val="18"/>
          <w:szCs w:val="18"/>
          <w:highlight w:val="none"/>
        </w:rPr>
        <w:t>(kPa)</w:t>
      </w:r>
      <w:r>
        <w:rPr>
          <w:rFonts w:hint="default" w:ascii="Times New Roman" w:hAnsi="Times New Roman" w:eastAsia="黑体"/>
          <w:b/>
          <w:sz w:val="18"/>
          <w:szCs w:val="18"/>
          <w:highlight w:val="none"/>
        </w:rPr>
        <w:t>和极限端</w:t>
      </w:r>
      <w:r>
        <w:rPr>
          <w:rFonts w:ascii="Times New Roman" w:hAnsi="Times New Roman" w:eastAsia="黑体"/>
          <w:b/>
          <w:sz w:val="18"/>
          <w:szCs w:val="18"/>
          <w:highlight w:val="none"/>
        </w:rPr>
        <w:t>阻力</w:t>
      </w:r>
      <w:r>
        <w:rPr>
          <w:rFonts w:hint="default" w:ascii="Times New Roman" w:hAnsi="Times New Roman" w:eastAsia="黑体"/>
          <w:b/>
          <w:sz w:val="18"/>
          <w:szCs w:val="18"/>
          <w:highlight w:val="none"/>
        </w:rPr>
        <w:t>标准值</w:t>
      </w:r>
      <w:r>
        <w:rPr>
          <w:rFonts w:ascii="Times New Roman" w:hAnsi="Times New Roman" w:eastAsia="黑体"/>
          <w:b/>
          <w:i/>
          <w:sz w:val="18"/>
          <w:szCs w:val="18"/>
          <w:highlight w:val="none"/>
        </w:rPr>
        <w:t>q</w:t>
      </w:r>
      <w:r>
        <w:rPr>
          <w:rFonts w:hint="default" w:ascii="Times New Roman" w:hAnsi="Times New Roman" w:eastAsia="黑体"/>
          <w:b/>
          <w:i/>
          <w:sz w:val="18"/>
          <w:szCs w:val="18"/>
          <w:highlight w:val="none"/>
          <w:vertAlign w:val="subscript"/>
        </w:rPr>
        <w:t>p</w:t>
      </w:r>
      <w:r>
        <w:rPr>
          <w:rFonts w:ascii="Times New Roman" w:hAnsi="Times New Roman" w:eastAsia="黑体"/>
          <w:b/>
          <w:i/>
          <w:sz w:val="18"/>
          <w:szCs w:val="18"/>
          <w:highlight w:val="none"/>
          <w:vertAlign w:val="subscript"/>
        </w:rPr>
        <w:t>k</w:t>
      </w:r>
      <w:r>
        <w:rPr>
          <w:rFonts w:ascii="Times New Roman" w:hAnsi="Times New Roman" w:eastAsia="黑体"/>
          <w:b/>
          <w:sz w:val="18"/>
          <w:szCs w:val="18"/>
          <w:highlight w:val="none"/>
        </w:rPr>
        <w:t>(kPa)</w:t>
      </w:r>
    </w:p>
    <w:tbl>
      <w:tblPr>
        <w:tblStyle w:val="4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910"/>
        <w:gridCol w:w="1081"/>
        <w:gridCol w:w="1450"/>
        <w:gridCol w:w="1506"/>
      </w:tblGrid>
      <w:tr w14:paraId="0F8229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6" w:hRule="atLeast"/>
          <w:tblHeader/>
          <w:jc w:val="center"/>
        </w:trPr>
        <w:tc>
          <w:tcPr>
            <w:tcW w:w="953" w:type="pct"/>
            <w:vMerge w:val="restart"/>
            <w:vAlign w:val="center"/>
          </w:tcPr>
          <w:p w14:paraId="2CAFC67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土的名称</w:t>
            </w:r>
          </w:p>
        </w:tc>
        <w:tc>
          <w:tcPr>
            <w:tcW w:w="1628" w:type="pct"/>
            <w:gridSpan w:val="2"/>
            <w:vMerge w:val="restart"/>
            <w:vAlign w:val="center"/>
          </w:tcPr>
          <w:p w14:paraId="556396A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土的状态</w:t>
            </w:r>
          </w:p>
        </w:tc>
        <w:tc>
          <w:tcPr>
            <w:tcW w:w="1186" w:type="pct"/>
            <w:vAlign w:val="center"/>
          </w:tcPr>
          <w:p w14:paraId="7E686D0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桩的极限侧阻力</w:t>
            </w:r>
            <w:r>
              <w:rPr>
                <w:rFonts w:hint="eastAsia" w:ascii="Times New Roman" w:hAnsi="Times New Roman" w:cs="Times New Roman"/>
                <w:i/>
                <w:iCs/>
                <w:sz w:val="15"/>
                <w:szCs w:val="15"/>
                <w:highlight w:val="none"/>
                <w:lang w:val="en-US" w:eastAsia="zh-CN"/>
              </w:rPr>
              <w:t>q</w:t>
            </w:r>
            <w:r>
              <w:rPr>
                <w:rFonts w:hint="default" w:ascii="Times New Roman" w:hAnsi="Times New Roman" w:cs="Times New Roman"/>
                <w:i/>
                <w:iCs/>
                <w:sz w:val="15"/>
                <w:szCs w:val="15"/>
                <w:highlight w:val="none"/>
                <w:vertAlign w:val="subscript"/>
              </w:rPr>
              <w:t xml:space="preserve">sk </w:t>
            </w:r>
          </w:p>
        </w:tc>
        <w:tc>
          <w:tcPr>
            <w:tcW w:w="1232" w:type="pct"/>
            <w:vAlign w:val="center"/>
          </w:tcPr>
          <w:p w14:paraId="219238A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桩的极限端阻力</w:t>
            </w:r>
            <w:r>
              <w:rPr>
                <w:rFonts w:hint="default" w:ascii="Times New Roman" w:hAnsi="Times New Roman" w:cs="Times New Roman"/>
                <w:i/>
                <w:iCs/>
                <w:sz w:val="15"/>
                <w:szCs w:val="15"/>
                <w:highlight w:val="none"/>
              </w:rPr>
              <w:t>q</w:t>
            </w:r>
            <w:r>
              <w:rPr>
                <w:rFonts w:hint="default" w:ascii="Times New Roman" w:hAnsi="Times New Roman" w:cs="Times New Roman"/>
                <w:i/>
                <w:iCs/>
                <w:sz w:val="15"/>
                <w:szCs w:val="15"/>
                <w:highlight w:val="none"/>
                <w:vertAlign w:val="subscript"/>
              </w:rPr>
              <w:t>pk</w:t>
            </w:r>
          </w:p>
        </w:tc>
      </w:tr>
      <w:tr w14:paraId="6A0922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7" w:hRule="atLeast"/>
          <w:tblHeader/>
          <w:jc w:val="center"/>
        </w:trPr>
        <w:tc>
          <w:tcPr>
            <w:tcW w:w="953" w:type="pct"/>
            <w:vMerge w:val="continue"/>
            <w:vAlign w:val="center"/>
          </w:tcPr>
          <w:p w14:paraId="61A48A68">
            <w:pPr>
              <w:spacing w:line="240" w:lineRule="exact"/>
              <w:jc w:val="center"/>
              <w:rPr>
                <w:rFonts w:hint="default" w:ascii="Times New Roman" w:hAnsi="Times New Roman" w:cs="Times New Roman"/>
                <w:sz w:val="15"/>
                <w:szCs w:val="15"/>
                <w:highlight w:val="none"/>
              </w:rPr>
            </w:pPr>
          </w:p>
        </w:tc>
        <w:tc>
          <w:tcPr>
            <w:tcW w:w="1628" w:type="pct"/>
            <w:gridSpan w:val="2"/>
            <w:vMerge w:val="continue"/>
            <w:vAlign w:val="center"/>
          </w:tcPr>
          <w:p w14:paraId="499C6CE4">
            <w:pPr>
              <w:spacing w:line="240" w:lineRule="exact"/>
              <w:jc w:val="center"/>
              <w:rPr>
                <w:rFonts w:hint="default" w:ascii="Times New Roman" w:hAnsi="Times New Roman" w:cs="Times New Roman"/>
                <w:sz w:val="15"/>
                <w:szCs w:val="15"/>
                <w:highlight w:val="none"/>
              </w:rPr>
            </w:pPr>
          </w:p>
        </w:tc>
        <w:tc>
          <w:tcPr>
            <w:tcW w:w="1186" w:type="pct"/>
            <w:vAlign w:val="center"/>
          </w:tcPr>
          <w:p w14:paraId="1495FFFA">
            <w:pPr>
              <w:spacing w:line="240" w:lineRule="exact"/>
              <w:jc w:val="center"/>
              <w:rPr>
                <w:rFonts w:hint="default" w:ascii="Times New Roman" w:hAnsi="Times New Roman" w:cs="Times New Roman"/>
                <w:sz w:val="15"/>
                <w:szCs w:val="15"/>
                <w:highlight w:val="none"/>
              </w:rPr>
            </w:pPr>
            <w:r>
              <w:rPr>
                <w:rFonts w:hint="eastAsia" w:ascii="Times New Roman" w:hAnsi="Times New Roman" w:cs="Times New Roman"/>
                <w:sz w:val="15"/>
                <w:szCs w:val="15"/>
                <w:highlight w:val="none"/>
                <w:lang w:val="en-US" w:eastAsia="zh-CN"/>
              </w:rPr>
              <w:t>灌注</w:t>
            </w:r>
            <w:r>
              <w:rPr>
                <w:rFonts w:hint="default" w:ascii="Times New Roman" w:hAnsi="Times New Roman" w:cs="Times New Roman"/>
                <w:sz w:val="15"/>
                <w:szCs w:val="15"/>
                <w:highlight w:val="none"/>
              </w:rPr>
              <w:t>桩</w:t>
            </w:r>
          </w:p>
        </w:tc>
        <w:tc>
          <w:tcPr>
            <w:tcW w:w="1232" w:type="pct"/>
            <w:vAlign w:val="center"/>
          </w:tcPr>
          <w:p w14:paraId="26B3D08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混凝土预制桩</w:t>
            </w:r>
          </w:p>
        </w:tc>
      </w:tr>
      <w:tr w14:paraId="1CAD94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953" w:type="pct"/>
            <w:vAlign w:val="center"/>
          </w:tcPr>
          <w:p w14:paraId="04D483D9">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填土</w:t>
            </w:r>
          </w:p>
        </w:tc>
        <w:tc>
          <w:tcPr>
            <w:tcW w:w="1628" w:type="pct"/>
            <w:gridSpan w:val="2"/>
            <w:vAlign w:val="center"/>
          </w:tcPr>
          <w:p w14:paraId="4EE0282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c>
          <w:tcPr>
            <w:tcW w:w="1186" w:type="pct"/>
            <w:vAlign w:val="center"/>
          </w:tcPr>
          <w:p w14:paraId="0C5B0A3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20～28</w:t>
            </w:r>
          </w:p>
        </w:tc>
        <w:tc>
          <w:tcPr>
            <w:tcW w:w="1232" w:type="pct"/>
            <w:vAlign w:val="center"/>
          </w:tcPr>
          <w:p w14:paraId="42DD4C4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r>
      <w:tr w14:paraId="01DD05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53" w:type="pct"/>
            <w:vAlign w:val="center"/>
          </w:tcPr>
          <w:p w14:paraId="3F068FD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淤泥</w:t>
            </w:r>
          </w:p>
        </w:tc>
        <w:tc>
          <w:tcPr>
            <w:tcW w:w="1628" w:type="pct"/>
            <w:gridSpan w:val="2"/>
            <w:vAlign w:val="center"/>
          </w:tcPr>
          <w:p w14:paraId="5E071BE8">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c>
          <w:tcPr>
            <w:tcW w:w="1186" w:type="pct"/>
            <w:vAlign w:val="center"/>
          </w:tcPr>
          <w:p w14:paraId="2571A59F">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12～18</w:t>
            </w:r>
          </w:p>
        </w:tc>
        <w:tc>
          <w:tcPr>
            <w:tcW w:w="1232" w:type="pct"/>
            <w:vAlign w:val="center"/>
          </w:tcPr>
          <w:p w14:paraId="12520F3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r>
      <w:tr w14:paraId="7353E4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61" w:hRule="atLeast"/>
          <w:jc w:val="center"/>
        </w:trPr>
        <w:tc>
          <w:tcPr>
            <w:tcW w:w="953" w:type="pct"/>
            <w:vAlign w:val="center"/>
          </w:tcPr>
          <w:p w14:paraId="51A1C715">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淤泥质土</w:t>
            </w:r>
          </w:p>
        </w:tc>
        <w:tc>
          <w:tcPr>
            <w:tcW w:w="1628" w:type="pct"/>
            <w:gridSpan w:val="2"/>
            <w:vAlign w:val="center"/>
          </w:tcPr>
          <w:p w14:paraId="1002E5C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c>
          <w:tcPr>
            <w:tcW w:w="1186" w:type="pct"/>
            <w:vAlign w:val="center"/>
          </w:tcPr>
          <w:p w14:paraId="7F301E75">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20～28</w:t>
            </w:r>
          </w:p>
        </w:tc>
        <w:tc>
          <w:tcPr>
            <w:tcW w:w="1232" w:type="pct"/>
            <w:vAlign w:val="center"/>
          </w:tcPr>
          <w:p w14:paraId="3518B384">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r>
      <w:tr w14:paraId="29641E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53" w:type="pct"/>
            <w:vAlign w:val="center"/>
          </w:tcPr>
          <w:p w14:paraId="0C8D540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黏性土</w:t>
            </w:r>
          </w:p>
        </w:tc>
        <w:tc>
          <w:tcPr>
            <w:tcW w:w="744" w:type="pct"/>
            <w:vAlign w:val="center"/>
          </w:tcPr>
          <w:p w14:paraId="5F71480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流塑</w:t>
            </w:r>
          </w:p>
          <w:p w14:paraId="3CD1024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软塑</w:t>
            </w:r>
          </w:p>
          <w:p w14:paraId="1AC1273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可塑</w:t>
            </w:r>
          </w:p>
          <w:p w14:paraId="5925A04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硬可塑</w:t>
            </w:r>
          </w:p>
          <w:p w14:paraId="65F4B434">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硬塑</w:t>
            </w:r>
          </w:p>
          <w:p w14:paraId="62C00FA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坚硬</w:t>
            </w:r>
          </w:p>
        </w:tc>
        <w:tc>
          <w:tcPr>
            <w:tcW w:w="884" w:type="pct"/>
            <w:vAlign w:val="center"/>
          </w:tcPr>
          <w:p w14:paraId="3D29582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I</w:t>
            </w:r>
            <w:r>
              <w:rPr>
                <w:rFonts w:hint="default" w:ascii="Times New Roman" w:hAnsi="Times New Roman" w:cs="Times New Roman"/>
                <w:sz w:val="15"/>
                <w:szCs w:val="15"/>
                <w:highlight w:val="none"/>
                <w:vertAlign w:val="subscript"/>
              </w:rPr>
              <w:t>L</w:t>
            </w:r>
            <w:r>
              <w:rPr>
                <w:rFonts w:hint="default" w:ascii="Times New Roman" w:hAnsi="Times New Roman" w:cs="Times New Roman"/>
                <w:sz w:val="15"/>
                <w:szCs w:val="15"/>
                <w:highlight w:val="none"/>
              </w:rPr>
              <w:t xml:space="preserve"> &gt; 1</w:t>
            </w:r>
          </w:p>
          <w:p w14:paraId="08EA859F">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0.75&lt; I</w:t>
            </w:r>
            <w:r>
              <w:rPr>
                <w:rFonts w:hint="default" w:ascii="Times New Roman" w:hAnsi="Times New Roman" w:cs="Times New Roman"/>
                <w:sz w:val="15"/>
                <w:szCs w:val="15"/>
                <w:highlight w:val="none"/>
                <w:vertAlign w:val="subscript"/>
              </w:rPr>
              <w:t>L</w:t>
            </w:r>
            <w:r>
              <w:rPr>
                <w:rFonts w:hint="default" w:ascii="Times New Roman" w:hAnsi="Times New Roman" w:cs="Times New Roman"/>
                <w:sz w:val="15"/>
                <w:szCs w:val="15"/>
                <w:highlight w:val="none"/>
              </w:rPr>
              <w:t>≤1</w:t>
            </w:r>
          </w:p>
          <w:p w14:paraId="267D5B7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0.50&lt; I</w:t>
            </w:r>
            <w:r>
              <w:rPr>
                <w:rFonts w:hint="default" w:ascii="Times New Roman" w:hAnsi="Times New Roman" w:cs="Times New Roman"/>
                <w:sz w:val="15"/>
                <w:szCs w:val="15"/>
                <w:highlight w:val="none"/>
                <w:vertAlign w:val="subscript"/>
              </w:rPr>
              <w:t>L</w:t>
            </w:r>
            <w:r>
              <w:rPr>
                <w:rFonts w:hint="default" w:ascii="Times New Roman" w:hAnsi="Times New Roman" w:cs="Times New Roman"/>
                <w:sz w:val="15"/>
                <w:szCs w:val="15"/>
                <w:highlight w:val="none"/>
              </w:rPr>
              <w:t>≤0.75</w:t>
            </w:r>
          </w:p>
          <w:p w14:paraId="23E12FA8">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0.25&lt; I</w:t>
            </w:r>
            <w:r>
              <w:rPr>
                <w:rFonts w:hint="default" w:ascii="Times New Roman" w:hAnsi="Times New Roman" w:cs="Times New Roman"/>
                <w:sz w:val="15"/>
                <w:szCs w:val="15"/>
                <w:highlight w:val="none"/>
                <w:vertAlign w:val="subscript"/>
              </w:rPr>
              <w:t>L</w:t>
            </w:r>
            <w:r>
              <w:rPr>
                <w:rFonts w:hint="default" w:ascii="Times New Roman" w:hAnsi="Times New Roman" w:cs="Times New Roman"/>
                <w:sz w:val="15"/>
                <w:szCs w:val="15"/>
                <w:highlight w:val="none"/>
              </w:rPr>
              <w:t>≤0.50</w:t>
            </w:r>
          </w:p>
          <w:p w14:paraId="6612B894">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0&lt; I</w:t>
            </w:r>
            <w:r>
              <w:rPr>
                <w:rFonts w:hint="default" w:ascii="Times New Roman" w:hAnsi="Times New Roman" w:cs="Times New Roman"/>
                <w:sz w:val="15"/>
                <w:szCs w:val="15"/>
                <w:highlight w:val="none"/>
                <w:vertAlign w:val="subscript"/>
              </w:rPr>
              <w:t>L</w:t>
            </w:r>
            <w:r>
              <w:rPr>
                <w:rFonts w:hint="default" w:ascii="Times New Roman" w:hAnsi="Times New Roman" w:cs="Times New Roman"/>
                <w:sz w:val="15"/>
                <w:szCs w:val="15"/>
                <w:highlight w:val="none"/>
              </w:rPr>
              <w:t>≤0.25</w:t>
            </w:r>
          </w:p>
          <w:p w14:paraId="5FFD3D94">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I</w:t>
            </w:r>
            <w:r>
              <w:rPr>
                <w:rFonts w:hint="default" w:ascii="Times New Roman" w:hAnsi="Times New Roman" w:cs="Times New Roman"/>
                <w:sz w:val="15"/>
                <w:szCs w:val="15"/>
                <w:highlight w:val="none"/>
                <w:vertAlign w:val="subscript"/>
              </w:rPr>
              <w:t>L</w:t>
            </w:r>
            <w:r>
              <w:rPr>
                <w:rFonts w:hint="default" w:ascii="Times New Roman" w:hAnsi="Times New Roman" w:cs="Times New Roman"/>
                <w:sz w:val="15"/>
                <w:szCs w:val="15"/>
                <w:highlight w:val="none"/>
              </w:rPr>
              <w:t>≤0</w:t>
            </w:r>
          </w:p>
        </w:tc>
        <w:tc>
          <w:tcPr>
            <w:tcW w:w="1186" w:type="pct"/>
            <w:vAlign w:val="center"/>
          </w:tcPr>
          <w:p w14:paraId="421A0B5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21～38</w:t>
            </w:r>
          </w:p>
          <w:p w14:paraId="431848C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38～53</w:t>
            </w:r>
          </w:p>
          <w:p w14:paraId="228D40E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53～68</w:t>
            </w:r>
          </w:p>
          <w:p w14:paraId="566C638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68～84</w:t>
            </w:r>
          </w:p>
          <w:p w14:paraId="2754077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84～96</w:t>
            </w:r>
          </w:p>
          <w:p w14:paraId="7E95B3C9">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96～102</w:t>
            </w:r>
          </w:p>
        </w:tc>
        <w:tc>
          <w:tcPr>
            <w:tcW w:w="1232" w:type="pct"/>
            <w:vAlign w:val="center"/>
          </w:tcPr>
          <w:p w14:paraId="17944B9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p w14:paraId="11557185">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650～1400</w:t>
            </w:r>
          </w:p>
          <w:p w14:paraId="1F42FCE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1400～2200</w:t>
            </w:r>
          </w:p>
          <w:p w14:paraId="7BC6D714">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2300～3300</w:t>
            </w:r>
          </w:p>
          <w:p w14:paraId="7468417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3800～5500</w:t>
            </w:r>
          </w:p>
          <w:p w14:paraId="2A3F4A5F">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r>
      <w:tr w14:paraId="1B0C50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53" w:type="pct"/>
            <w:vAlign w:val="center"/>
          </w:tcPr>
          <w:p w14:paraId="4CB8A1EF">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红黏土</w:t>
            </w:r>
          </w:p>
        </w:tc>
        <w:tc>
          <w:tcPr>
            <w:tcW w:w="1628" w:type="pct"/>
            <w:gridSpan w:val="2"/>
            <w:vAlign w:val="center"/>
          </w:tcPr>
          <w:p w14:paraId="703FA45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可塑0.7&lt; aw ≤1</w:t>
            </w:r>
          </w:p>
          <w:p w14:paraId="7606729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硬塑0.5 &lt;aw ≤0.7</w:t>
            </w:r>
          </w:p>
        </w:tc>
        <w:tc>
          <w:tcPr>
            <w:tcW w:w="1186" w:type="pct"/>
            <w:vAlign w:val="center"/>
          </w:tcPr>
          <w:p w14:paraId="36BC7A2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12～30</w:t>
            </w:r>
          </w:p>
          <w:p w14:paraId="7ADF7AD4">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30～70</w:t>
            </w:r>
          </w:p>
        </w:tc>
        <w:tc>
          <w:tcPr>
            <w:tcW w:w="1232" w:type="pct"/>
            <w:vAlign w:val="center"/>
          </w:tcPr>
          <w:p w14:paraId="5BF786D9">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r>
      <w:tr w14:paraId="3520BB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953" w:type="pct"/>
            <w:vAlign w:val="center"/>
          </w:tcPr>
          <w:p w14:paraId="59053B8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粉土</w:t>
            </w:r>
          </w:p>
        </w:tc>
        <w:tc>
          <w:tcPr>
            <w:tcW w:w="744" w:type="pct"/>
            <w:vAlign w:val="center"/>
          </w:tcPr>
          <w:p w14:paraId="50BED7F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稍密</w:t>
            </w:r>
          </w:p>
          <w:p w14:paraId="6EBF427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中密</w:t>
            </w:r>
          </w:p>
          <w:p w14:paraId="0B2A966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密实</w:t>
            </w:r>
          </w:p>
        </w:tc>
        <w:tc>
          <w:tcPr>
            <w:tcW w:w="884" w:type="pct"/>
            <w:vAlign w:val="center"/>
          </w:tcPr>
          <w:p w14:paraId="3DF62404">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e &gt;0.9</w:t>
            </w:r>
          </w:p>
          <w:p w14:paraId="409CEBB9">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0.75≤ e ≤0.9</w:t>
            </w:r>
          </w:p>
          <w:p w14:paraId="2555CF0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e &lt; 0.75</w:t>
            </w:r>
          </w:p>
        </w:tc>
        <w:tc>
          <w:tcPr>
            <w:tcW w:w="1186" w:type="pct"/>
            <w:vAlign w:val="center"/>
          </w:tcPr>
          <w:p w14:paraId="21F4FAE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24～42</w:t>
            </w:r>
          </w:p>
          <w:p w14:paraId="5F66149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42～62</w:t>
            </w:r>
          </w:p>
          <w:p w14:paraId="7EA9304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62～82</w:t>
            </w:r>
          </w:p>
        </w:tc>
        <w:tc>
          <w:tcPr>
            <w:tcW w:w="1232" w:type="pct"/>
            <w:vAlign w:val="center"/>
          </w:tcPr>
          <w:p w14:paraId="3C65FDB5">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p w14:paraId="73CBF42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1400～2100</w:t>
            </w:r>
          </w:p>
          <w:p w14:paraId="6A91816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2100～3000</w:t>
            </w:r>
          </w:p>
        </w:tc>
      </w:tr>
      <w:tr w14:paraId="4E17A8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953" w:type="pct"/>
            <w:vAlign w:val="center"/>
          </w:tcPr>
          <w:p w14:paraId="5C7B12D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粉砂</w:t>
            </w:r>
          </w:p>
        </w:tc>
        <w:tc>
          <w:tcPr>
            <w:tcW w:w="744" w:type="pct"/>
            <w:vAlign w:val="center"/>
          </w:tcPr>
          <w:p w14:paraId="15ADCA5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稍密</w:t>
            </w:r>
          </w:p>
          <w:p w14:paraId="74DD771F">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中密</w:t>
            </w:r>
          </w:p>
          <w:p w14:paraId="7D43E4C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密实</w:t>
            </w:r>
          </w:p>
        </w:tc>
        <w:tc>
          <w:tcPr>
            <w:tcW w:w="884" w:type="pct"/>
            <w:vAlign w:val="center"/>
          </w:tcPr>
          <w:p w14:paraId="4DAB335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10&lt; N ≤15</w:t>
            </w:r>
          </w:p>
          <w:p w14:paraId="3D33753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15&lt; N ≤30</w:t>
            </w:r>
          </w:p>
          <w:p w14:paraId="1446595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N &gt;30</w:t>
            </w:r>
          </w:p>
        </w:tc>
        <w:tc>
          <w:tcPr>
            <w:tcW w:w="1186" w:type="pct"/>
            <w:vAlign w:val="center"/>
          </w:tcPr>
          <w:p w14:paraId="5E45FC4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22～46</w:t>
            </w:r>
          </w:p>
          <w:p w14:paraId="286DD47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46～64</w:t>
            </w:r>
          </w:p>
          <w:p w14:paraId="3B1747EF">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64～86</w:t>
            </w:r>
          </w:p>
        </w:tc>
        <w:tc>
          <w:tcPr>
            <w:tcW w:w="1232" w:type="pct"/>
            <w:vAlign w:val="center"/>
          </w:tcPr>
          <w:p w14:paraId="6919EAA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1500～2300</w:t>
            </w:r>
          </w:p>
          <w:p w14:paraId="74F6D71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2100～3000</w:t>
            </w:r>
          </w:p>
          <w:p w14:paraId="022DBF5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2100～3000</w:t>
            </w:r>
          </w:p>
        </w:tc>
      </w:tr>
      <w:tr w14:paraId="25251E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53" w:type="pct"/>
            <w:vAlign w:val="center"/>
          </w:tcPr>
          <w:p w14:paraId="545F1FD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细砂</w:t>
            </w:r>
          </w:p>
        </w:tc>
        <w:tc>
          <w:tcPr>
            <w:tcW w:w="744" w:type="pct"/>
            <w:vAlign w:val="center"/>
          </w:tcPr>
          <w:p w14:paraId="10FF21B5">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稍密</w:t>
            </w:r>
          </w:p>
          <w:p w14:paraId="54655F2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中密</w:t>
            </w:r>
          </w:p>
          <w:p w14:paraId="5E9456D5">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密实</w:t>
            </w:r>
          </w:p>
        </w:tc>
        <w:tc>
          <w:tcPr>
            <w:tcW w:w="884" w:type="pct"/>
            <w:vAlign w:val="center"/>
          </w:tcPr>
          <w:p w14:paraId="5EE692D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10&lt; N ≤15</w:t>
            </w:r>
          </w:p>
          <w:p w14:paraId="6FCC648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15&lt; N ≤30</w:t>
            </w:r>
          </w:p>
          <w:p w14:paraId="1A23B36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N &gt;30</w:t>
            </w:r>
          </w:p>
        </w:tc>
        <w:tc>
          <w:tcPr>
            <w:tcW w:w="1186" w:type="pct"/>
            <w:vAlign w:val="center"/>
          </w:tcPr>
          <w:p w14:paraId="2880CE8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22～46</w:t>
            </w:r>
          </w:p>
          <w:p w14:paraId="76F9DDD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46～64</w:t>
            </w:r>
          </w:p>
          <w:p w14:paraId="56DDDC3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64～86</w:t>
            </w:r>
          </w:p>
        </w:tc>
        <w:tc>
          <w:tcPr>
            <w:tcW w:w="1232" w:type="pct"/>
            <w:vAlign w:val="center"/>
          </w:tcPr>
          <w:p w14:paraId="214BD2D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p w14:paraId="46DABEB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3600～5000</w:t>
            </w:r>
          </w:p>
          <w:p w14:paraId="7F8815C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3600～5000</w:t>
            </w:r>
          </w:p>
        </w:tc>
      </w:tr>
      <w:tr w14:paraId="3A7A29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953" w:type="pct"/>
            <w:vAlign w:val="center"/>
          </w:tcPr>
          <w:p w14:paraId="0CB90A4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中砂</w:t>
            </w:r>
          </w:p>
        </w:tc>
        <w:tc>
          <w:tcPr>
            <w:tcW w:w="744" w:type="pct"/>
            <w:vAlign w:val="center"/>
          </w:tcPr>
          <w:p w14:paraId="1954D19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中密</w:t>
            </w:r>
          </w:p>
          <w:p w14:paraId="249C126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密实</w:t>
            </w:r>
          </w:p>
        </w:tc>
        <w:tc>
          <w:tcPr>
            <w:tcW w:w="884" w:type="pct"/>
            <w:vAlign w:val="center"/>
          </w:tcPr>
          <w:p w14:paraId="4C5DB32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15&lt; N ≤30</w:t>
            </w:r>
          </w:p>
          <w:p w14:paraId="5D5ADEB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N &gt;30</w:t>
            </w:r>
          </w:p>
        </w:tc>
        <w:tc>
          <w:tcPr>
            <w:tcW w:w="1186" w:type="pct"/>
            <w:vAlign w:val="center"/>
          </w:tcPr>
          <w:p w14:paraId="252F41D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53～72</w:t>
            </w:r>
          </w:p>
          <w:p w14:paraId="397652E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72～94</w:t>
            </w:r>
          </w:p>
        </w:tc>
        <w:tc>
          <w:tcPr>
            <w:tcW w:w="1232" w:type="pct"/>
            <w:vAlign w:val="center"/>
          </w:tcPr>
          <w:p w14:paraId="699CCA6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5500～7000</w:t>
            </w:r>
          </w:p>
          <w:p w14:paraId="59FEFD89">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5500～7000</w:t>
            </w:r>
          </w:p>
        </w:tc>
      </w:tr>
      <w:tr w14:paraId="643401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953" w:type="pct"/>
            <w:vAlign w:val="center"/>
          </w:tcPr>
          <w:p w14:paraId="7273E844">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粗砂</w:t>
            </w:r>
          </w:p>
        </w:tc>
        <w:tc>
          <w:tcPr>
            <w:tcW w:w="744" w:type="pct"/>
            <w:vAlign w:val="center"/>
          </w:tcPr>
          <w:p w14:paraId="453232F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中密</w:t>
            </w:r>
          </w:p>
          <w:p w14:paraId="61DDD669">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密实</w:t>
            </w:r>
          </w:p>
        </w:tc>
        <w:tc>
          <w:tcPr>
            <w:tcW w:w="884" w:type="pct"/>
            <w:vAlign w:val="center"/>
          </w:tcPr>
          <w:p w14:paraId="1B63E2F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15&lt; N ≤30</w:t>
            </w:r>
          </w:p>
          <w:p w14:paraId="73108E5F">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N &gt;30</w:t>
            </w:r>
          </w:p>
        </w:tc>
        <w:tc>
          <w:tcPr>
            <w:tcW w:w="1186" w:type="pct"/>
            <w:vAlign w:val="center"/>
          </w:tcPr>
          <w:p w14:paraId="31FE653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74～95</w:t>
            </w:r>
          </w:p>
          <w:p w14:paraId="19B9BC2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95～116</w:t>
            </w:r>
          </w:p>
        </w:tc>
        <w:tc>
          <w:tcPr>
            <w:tcW w:w="1232" w:type="pct"/>
            <w:vAlign w:val="center"/>
          </w:tcPr>
          <w:p w14:paraId="5B804D3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7500～8500</w:t>
            </w:r>
          </w:p>
          <w:p w14:paraId="201EB81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7500～8500</w:t>
            </w:r>
          </w:p>
        </w:tc>
      </w:tr>
      <w:tr w14:paraId="42D689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953" w:type="pct"/>
            <w:vAlign w:val="center"/>
          </w:tcPr>
          <w:p w14:paraId="5CA81DD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砾砂</w:t>
            </w:r>
          </w:p>
        </w:tc>
        <w:tc>
          <w:tcPr>
            <w:tcW w:w="744" w:type="pct"/>
            <w:vAlign w:val="center"/>
          </w:tcPr>
          <w:p w14:paraId="5B7CA9F5">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稍密</w:t>
            </w:r>
          </w:p>
          <w:p w14:paraId="0EDB8EC8">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中（密实）</w:t>
            </w:r>
          </w:p>
        </w:tc>
        <w:tc>
          <w:tcPr>
            <w:tcW w:w="884" w:type="pct"/>
            <w:vAlign w:val="center"/>
          </w:tcPr>
          <w:p w14:paraId="3D80F9A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5&lt; N</w:t>
            </w:r>
            <w:r>
              <w:rPr>
                <w:rFonts w:hint="default" w:ascii="Times New Roman" w:hAnsi="Times New Roman" w:cs="Times New Roman"/>
                <w:sz w:val="15"/>
                <w:szCs w:val="15"/>
                <w:highlight w:val="none"/>
                <w:vertAlign w:val="subscript"/>
              </w:rPr>
              <w:t>63.5</w:t>
            </w:r>
            <w:r>
              <w:rPr>
                <w:rFonts w:hint="default" w:ascii="Times New Roman" w:hAnsi="Times New Roman" w:cs="Times New Roman"/>
                <w:sz w:val="15"/>
                <w:szCs w:val="15"/>
                <w:highlight w:val="none"/>
              </w:rPr>
              <w:t>≤15</w:t>
            </w:r>
          </w:p>
          <w:p w14:paraId="3A409F0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N</w:t>
            </w:r>
            <w:r>
              <w:rPr>
                <w:rFonts w:hint="default" w:ascii="Times New Roman" w:hAnsi="Times New Roman" w:cs="Times New Roman"/>
                <w:sz w:val="15"/>
                <w:szCs w:val="15"/>
                <w:highlight w:val="none"/>
                <w:vertAlign w:val="subscript"/>
              </w:rPr>
              <w:t>63.5</w:t>
            </w:r>
            <w:r>
              <w:rPr>
                <w:rFonts w:hint="default" w:ascii="Times New Roman" w:hAnsi="Times New Roman" w:cs="Times New Roman"/>
                <w:sz w:val="15"/>
                <w:szCs w:val="15"/>
                <w:highlight w:val="none"/>
              </w:rPr>
              <w:t>&gt;15</w:t>
            </w:r>
          </w:p>
        </w:tc>
        <w:tc>
          <w:tcPr>
            <w:tcW w:w="1186" w:type="pct"/>
            <w:vAlign w:val="center"/>
          </w:tcPr>
          <w:p w14:paraId="1DF81CC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50～90</w:t>
            </w:r>
          </w:p>
          <w:p w14:paraId="1568D23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116～130</w:t>
            </w:r>
          </w:p>
        </w:tc>
        <w:tc>
          <w:tcPr>
            <w:tcW w:w="1232" w:type="pct"/>
            <w:vAlign w:val="center"/>
          </w:tcPr>
          <w:p w14:paraId="260186E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p w14:paraId="0DF360D9">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6000～9500</w:t>
            </w:r>
          </w:p>
        </w:tc>
      </w:tr>
      <w:tr w14:paraId="37E15F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53" w:type="pct"/>
            <w:vAlign w:val="center"/>
          </w:tcPr>
          <w:p w14:paraId="4D2122F4">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圆砾、角砾</w:t>
            </w:r>
          </w:p>
        </w:tc>
        <w:tc>
          <w:tcPr>
            <w:tcW w:w="744" w:type="pct"/>
            <w:vAlign w:val="center"/>
          </w:tcPr>
          <w:p w14:paraId="4721BD2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中密、密实</w:t>
            </w:r>
          </w:p>
        </w:tc>
        <w:tc>
          <w:tcPr>
            <w:tcW w:w="884" w:type="pct"/>
            <w:vAlign w:val="center"/>
          </w:tcPr>
          <w:p w14:paraId="5F81FC6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N</w:t>
            </w:r>
            <w:r>
              <w:rPr>
                <w:rFonts w:hint="default" w:ascii="Times New Roman" w:hAnsi="Times New Roman" w:cs="Times New Roman"/>
                <w:sz w:val="15"/>
                <w:szCs w:val="15"/>
                <w:highlight w:val="none"/>
                <w:vertAlign w:val="subscript"/>
              </w:rPr>
              <w:t>63.5</w:t>
            </w:r>
            <w:r>
              <w:rPr>
                <w:rFonts w:hint="default" w:ascii="Times New Roman" w:hAnsi="Times New Roman" w:cs="Times New Roman"/>
                <w:sz w:val="15"/>
                <w:szCs w:val="15"/>
                <w:highlight w:val="none"/>
              </w:rPr>
              <w:t>&gt;10</w:t>
            </w:r>
          </w:p>
        </w:tc>
        <w:tc>
          <w:tcPr>
            <w:tcW w:w="1186" w:type="pct"/>
            <w:vAlign w:val="center"/>
          </w:tcPr>
          <w:p w14:paraId="35C2D9C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135～150</w:t>
            </w:r>
          </w:p>
        </w:tc>
        <w:tc>
          <w:tcPr>
            <w:tcW w:w="1232" w:type="pct"/>
            <w:vAlign w:val="center"/>
          </w:tcPr>
          <w:p w14:paraId="4650A32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7000～10000</w:t>
            </w:r>
          </w:p>
        </w:tc>
      </w:tr>
      <w:tr w14:paraId="2D5546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3" w:type="pct"/>
            <w:vAlign w:val="center"/>
          </w:tcPr>
          <w:p w14:paraId="4850534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碎石、卵石</w:t>
            </w:r>
          </w:p>
        </w:tc>
        <w:tc>
          <w:tcPr>
            <w:tcW w:w="744" w:type="pct"/>
            <w:vAlign w:val="center"/>
          </w:tcPr>
          <w:p w14:paraId="6819F8B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中密、密实</w:t>
            </w:r>
          </w:p>
        </w:tc>
        <w:tc>
          <w:tcPr>
            <w:tcW w:w="884" w:type="pct"/>
            <w:vAlign w:val="center"/>
          </w:tcPr>
          <w:p w14:paraId="627422F5">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N</w:t>
            </w:r>
            <w:r>
              <w:rPr>
                <w:rFonts w:hint="default" w:ascii="Times New Roman" w:hAnsi="Times New Roman" w:cs="Times New Roman"/>
                <w:sz w:val="15"/>
                <w:szCs w:val="15"/>
                <w:highlight w:val="none"/>
                <w:vertAlign w:val="subscript"/>
              </w:rPr>
              <w:t>63.5</w:t>
            </w:r>
            <w:r>
              <w:rPr>
                <w:rFonts w:hint="default" w:ascii="Times New Roman" w:hAnsi="Times New Roman" w:cs="Times New Roman"/>
                <w:sz w:val="15"/>
                <w:szCs w:val="15"/>
                <w:highlight w:val="none"/>
              </w:rPr>
              <w:t>&gt;10</w:t>
            </w:r>
          </w:p>
        </w:tc>
        <w:tc>
          <w:tcPr>
            <w:tcW w:w="1186" w:type="pct"/>
            <w:vAlign w:val="center"/>
          </w:tcPr>
          <w:p w14:paraId="6999F909">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140～170</w:t>
            </w:r>
          </w:p>
        </w:tc>
        <w:tc>
          <w:tcPr>
            <w:tcW w:w="1232" w:type="pct"/>
            <w:vAlign w:val="center"/>
          </w:tcPr>
          <w:p w14:paraId="5DE844F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8000～11000</w:t>
            </w:r>
          </w:p>
        </w:tc>
      </w:tr>
      <w:tr w14:paraId="40AED7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3" w:type="pct"/>
            <w:vAlign w:val="center"/>
          </w:tcPr>
          <w:p w14:paraId="1F62B64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全风化软质岩</w:t>
            </w:r>
          </w:p>
        </w:tc>
        <w:tc>
          <w:tcPr>
            <w:tcW w:w="744" w:type="pct"/>
            <w:vAlign w:val="center"/>
          </w:tcPr>
          <w:p w14:paraId="268EA15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c>
          <w:tcPr>
            <w:tcW w:w="884" w:type="pct"/>
            <w:vAlign w:val="center"/>
          </w:tcPr>
          <w:p w14:paraId="45CF4FA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30&lt; N≤50</w:t>
            </w:r>
          </w:p>
        </w:tc>
        <w:tc>
          <w:tcPr>
            <w:tcW w:w="1186" w:type="pct"/>
            <w:vAlign w:val="center"/>
          </w:tcPr>
          <w:p w14:paraId="5926AAD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80～100</w:t>
            </w:r>
          </w:p>
        </w:tc>
        <w:tc>
          <w:tcPr>
            <w:tcW w:w="1232" w:type="pct"/>
            <w:vAlign w:val="center"/>
          </w:tcPr>
          <w:p w14:paraId="2B167798">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4000～6000</w:t>
            </w:r>
          </w:p>
        </w:tc>
      </w:tr>
      <w:tr w14:paraId="46681F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953" w:type="pct"/>
            <w:vAlign w:val="center"/>
          </w:tcPr>
          <w:p w14:paraId="557168A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全风化硬质岩</w:t>
            </w:r>
          </w:p>
        </w:tc>
        <w:tc>
          <w:tcPr>
            <w:tcW w:w="744" w:type="pct"/>
            <w:vAlign w:val="center"/>
          </w:tcPr>
          <w:p w14:paraId="6D29731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c>
          <w:tcPr>
            <w:tcW w:w="884" w:type="pct"/>
            <w:vAlign w:val="center"/>
          </w:tcPr>
          <w:p w14:paraId="2C3644A5">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30&lt; N≤50</w:t>
            </w:r>
          </w:p>
        </w:tc>
        <w:tc>
          <w:tcPr>
            <w:tcW w:w="1186" w:type="pct"/>
            <w:vAlign w:val="center"/>
          </w:tcPr>
          <w:p w14:paraId="5A27AE7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120～140</w:t>
            </w:r>
          </w:p>
        </w:tc>
        <w:tc>
          <w:tcPr>
            <w:tcW w:w="1232" w:type="pct"/>
            <w:vAlign w:val="center"/>
          </w:tcPr>
          <w:p w14:paraId="49A29E7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5000～8000</w:t>
            </w:r>
          </w:p>
        </w:tc>
      </w:tr>
      <w:tr w14:paraId="1A5A55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953" w:type="pct"/>
            <w:vAlign w:val="center"/>
          </w:tcPr>
          <w:p w14:paraId="2C33EBE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强风化软质岩</w:t>
            </w:r>
          </w:p>
        </w:tc>
        <w:tc>
          <w:tcPr>
            <w:tcW w:w="744" w:type="pct"/>
            <w:vAlign w:val="center"/>
          </w:tcPr>
          <w:p w14:paraId="5D2D8AA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c>
          <w:tcPr>
            <w:tcW w:w="884" w:type="pct"/>
            <w:vAlign w:val="center"/>
          </w:tcPr>
          <w:p w14:paraId="065F668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N63.5&gt;10</w:t>
            </w:r>
          </w:p>
        </w:tc>
        <w:tc>
          <w:tcPr>
            <w:tcW w:w="1186" w:type="pct"/>
            <w:vAlign w:val="center"/>
          </w:tcPr>
          <w:p w14:paraId="284BF22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140～200</w:t>
            </w:r>
          </w:p>
        </w:tc>
        <w:tc>
          <w:tcPr>
            <w:tcW w:w="1232" w:type="pct"/>
            <w:vAlign w:val="center"/>
          </w:tcPr>
          <w:p w14:paraId="68A255E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6000～9000</w:t>
            </w:r>
          </w:p>
        </w:tc>
      </w:tr>
      <w:tr w14:paraId="3F8091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3" w:type="pct"/>
            <w:vAlign w:val="center"/>
          </w:tcPr>
          <w:p w14:paraId="78BDDF3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强风化硬质岩</w:t>
            </w:r>
          </w:p>
        </w:tc>
        <w:tc>
          <w:tcPr>
            <w:tcW w:w="744" w:type="pct"/>
            <w:vAlign w:val="center"/>
          </w:tcPr>
          <w:p w14:paraId="4E659FF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c>
          <w:tcPr>
            <w:tcW w:w="884" w:type="pct"/>
            <w:vAlign w:val="center"/>
          </w:tcPr>
          <w:p w14:paraId="4D25FCE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N63.5&gt;10</w:t>
            </w:r>
          </w:p>
        </w:tc>
        <w:tc>
          <w:tcPr>
            <w:tcW w:w="1186" w:type="pct"/>
            <w:vAlign w:val="center"/>
          </w:tcPr>
          <w:p w14:paraId="3FCCEF0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160～240</w:t>
            </w:r>
          </w:p>
        </w:tc>
        <w:tc>
          <w:tcPr>
            <w:tcW w:w="1232" w:type="pct"/>
            <w:vAlign w:val="center"/>
          </w:tcPr>
          <w:p w14:paraId="0E4DDDC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7000～11000</w:t>
            </w:r>
          </w:p>
        </w:tc>
      </w:tr>
    </w:tbl>
    <w:p w14:paraId="1F090747">
      <w:pPr>
        <w:spacing w:line="360" w:lineRule="auto"/>
        <w:jc w:val="center"/>
        <w:rPr>
          <w:rFonts w:ascii="Times New Roman" w:hAnsi="Times New Roman" w:eastAsia="黑体"/>
          <w:b/>
          <w:sz w:val="18"/>
          <w:szCs w:val="18"/>
          <w:highlight w:val="none"/>
        </w:rPr>
      </w:pPr>
      <w:r>
        <w:rPr>
          <w:rFonts w:ascii="Times New Roman" w:hAnsi="Times New Roman" w:eastAsia="黑体"/>
          <w:b/>
          <w:sz w:val="18"/>
          <w:szCs w:val="18"/>
          <w:highlight w:val="none"/>
        </w:rPr>
        <w:t>表</w:t>
      </w:r>
      <w:r>
        <w:rPr>
          <w:rFonts w:hint="default" w:ascii="Times New Roman" w:hAnsi="Times New Roman" w:eastAsia="黑体"/>
          <w:b/>
          <w:sz w:val="18"/>
          <w:szCs w:val="18"/>
          <w:highlight w:val="none"/>
        </w:rPr>
        <w:t>4.</w:t>
      </w:r>
      <w:r>
        <w:rPr>
          <w:rFonts w:hint="default" w:ascii="Times New Roman" w:hAnsi="Times New Roman" w:eastAsia="黑体"/>
          <w:b/>
          <w:sz w:val="18"/>
          <w:szCs w:val="18"/>
          <w:highlight w:val="none"/>
          <w:lang w:val="en-US" w:eastAsia="zh-CN"/>
        </w:rPr>
        <w:t>3</w:t>
      </w:r>
      <w:r>
        <w:rPr>
          <w:rFonts w:hint="default" w:ascii="Times New Roman" w:hAnsi="Times New Roman" w:eastAsia="黑体"/>
          <w:b/>
          <w:sz w:val="18"/>
          <w:szCs w:val="18"/>
          <w:highlight w:val="none"/>
        </w:rPr>
        <w:t>.</w:t>
      </w:r>
      <w:r>
        <w:rPr>
          <w:rFonts w:hint="default" w:ascii="Times New Roman" w:hAnsi="Times New Roman" w:eastAsia="黑体"/>
          <w:b/>
          <w:sz w:val="18"/>
          <w:szCs w:val="18"/>
          <w:highlight w:val="none"/>
          <w:lang w:val="en-US" w:eastAsia="zh-CN"/>
        </w:rPr>
        <w:t>8</w:t>
      </w:r>
      <w:r>
        <w:rPr>
          <w:rFonts w:hint="eastAsia" w:ascii="Times New Roman" w:hAnsi="Times New Roman" w:eastAsia="黑体"/>
          <w:b/>
          <w:sz w:val="18"/>
          <w:szCs w:val="18"/>
          <w:highlight w:val="none"/>
          <w:lang w:val="en-US" w:eastAsia="zh-CN"/>
        </w:rPr>
        <w:t>-2 预制桩植桩</w:t>
      </w:r>
      <w:r>
        <w:rPr>
          <w:rFonts w:hint="eastAsia" w:ascii="Times New Roman" w:hAnsi="Times New Roman" w:eastAsia="黑体"/>
          <w:b/>
          <w:sz w:val="18"/>
          <w:szCs w:val="18"/>
          <w:highlight w:val="none"/>
        </w:rPr>
        <w:t>的极限端</w:t>
      </w:r>
      <w:r>
        <w:rPr>
          <w:rFonts w:ascii="Times New Roman" w:hAnsi="Times New Roman" w:eastAsia="黑体"/>
          <w:b/>
          <w:sz w:val="18"/>
          <w:szCs w:val="18"/>
          <w:highlight w:val="none"/>
        </w:rPr>
        <w:t>阻力</w:t>
      </w:r>
      <w:r>
        <w:rPr>
          <w:rFonts w:hint="eastAsia" w:ascii="Times New Roman" w:hAnsi="Times New Roman" w:eastAsia="黑体"/>
          <w:b/>
          <w:sz w:val="18"/>
          <w:szCs w:val="18"/>
          <w:highlight w:val="none"/>
        </w:rPr>
        <w:t>标准值</w:t>
      </w:r>
      <m:oMath>
        <m:sSub>
          <m:sSubPr>
            <m:ctrlPr>
              <w:rPr>
                <w:rFonts w:ascii="Cambria Math" w:hAnsi="Cambria Math" w:eastAsia="黑体"/>
                <w:b/>
                <w:sz w:val="18"/>
                <w:szCs w:val="18"/>
                <w:highlight w:val="none"/>
              </w:rPr>
            </m:ctrlPr>
          </m:sSubPr>
          <m:e>
            <m:r>
              <m:rPr>
                <m:sty m:val="b"/>
              </m:rPr>
              <w:rPr>
                <w:rFonts w:ascii="Cambria Math" w:hAnsi="Cambria Math" w:eastAsia="黑体"/>
                <w:sz w:val="18"/>
                <w:szCs w:val="18"/>
                <w:highlight w:val="none"/>
              </w:rPr>
              <m:t>q</m:t>
            </m:r>
            <m:ctrlPr>
              <w:rPr>
                <w:rFonts w:ascii="Cambria Math" w:hAnsi="Cambria Math" w:eastAsia="黑体"/>
                <w:b/>
                <w:sz w:val="18"/>
                <w:szCs w:val="18"/>
                <w:highlight w:val="none"/>
              </w:rPr>
            </m:ctrlPr>
          </m:e>
          <m:sub>
            <m:r>
              <m:rPr>
                <m:sty m:val="b"/>
              </m:rPr>
              <w:rPr>
                <w:rFonts w:hint="eastAsia" w:ascii="Cambria Math" w:hAnsi="Cambria Math" w:eastAsia="黑体"/>
                <w:sz w:val="18"/>
                <w:szCs w:val="18"/>
                <w:highlight w:val="none"/>
              </w:rPr>
              <m:t>p</m:t>
            </m:r>
            <m:r>
              <m:rPr>
                <m:sty m:val="b"/>
              </m:rPr>
              <w:rPr>
                <w:rFonts w:ascii="Cambria Math" w:hAnsi="Cambria Math" w:eastAsia="黑体"/>
                <w:sz w:val="18"/>
                <w:szCs w:val="18"/>
                <w:highlight w:val="none"/>
              </w:rPr>
              <m:t>k</m:t>
            </m:r>
            <m:ctrlPr>
              <w:rPr>
                <w:rFonts w:ascii="Cambria Math" w:hAnsi="Cambria Math" w:eastAsia="黑体"/>
                <w:b/>
                <w:sz w:val="18"/>
                <w:szCs w:val="18"/>
                <w:highlight w:val="none"/>
              </w:rPr>
            </m:ctrlPr>
          </m:sub>
        </m:sSub>
      </m:oMath>
      <w:r>
        <w:rPr>
          <w:rFonts w:hint="eastAsia" w:ascii="Times New Roman" w:hAnsi="Times New Roman" w:eastAsia="黑体"/>
          <w:b/>
          <w:sz w:val="18"/>
          <w:szCs w:val="18"/>
          <w:highlight w:val="none"/>
        </w:rPr>
        <w:t>(</w:t>
      </w:r>
      <w:r>
        <w:rPr>
          <w:rFonts w:ascii="Times New Roman" w:hAnsi="Times New Roman" w:eastAsia="黑体"/>
          <w:b/>
          <w:sz w:val="18"/>
          <w:szCs w:val="18"/>
          <w:highlight w:val="none"/>
        </w:rPr>
        <w:t>kPa)</w:t>
      </w:r>
    </w:p>
    <w:tbl>
      <w:tblPr>
        <w:tblStyle w:val="49"/>
        <w:tblW w:w="4995" w:type="pct"/>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fixed"/>
        <w:tblCellMar>
          <w:top w:w="0" w:type="dxa"/>
          <w:left w:w="108" w:type="dxa"/>
          <w:bottom w:w="0" w:type="dxa"/>
          <w:right w:w="108" w:type="dxa"/>
        </w:tblCellMar>
      </w:tblPr>
      <w:tblGrid>
        <w:gridCol w:w="1609"/>
        <w:gridCol w:w="574"/>
        <w:gridCol w:w="715"/>
        <w:gridCol w:w="777"/>
        <w:gridCol w:w="777"/>
        <w:gridCol w:w="777"/>
        <w:gridCol w:w="877"/>
      </w:tblGrid>
      <w:tr w14:paraId="6640F8E6">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55" w:hRule="atLeast"/>
          <w:jc w:val="center"/>
        </w:trPr>
        <w:tc>
          <w:tcPr>
            <w:tcW w:w="1317" w:type="pct"/>
            <w:tcBorders>
              <w:top w:val="single" w:color="auto" w:sz="8" w:space="0"/>
              <w:left w:val="single" w:color="auto" w:sz="8" w:space="0"/>
              <w:bottom w:val="single" w:color="auto" w:sz="2" w:space="0"/>
              <w:right w:val="single" w:color="auto" w:sz="2" w:space="0"/>
              <w:tl2br w:val="single" w:color="auto" w:sz="2" w:space="0"/>
            </w:tcBorders>
            <w:vAlign w:val="center"/>
          </w:tcPr>
          <w:p w14:paraId="7F4C9CE9">
            <w:pPr>
              <w:rPr>
                <w:rFonts w:hint="default" w:ascii="Times New Roman" w:hAnsi="Times New Roman" w:cs="Times New Roman" w:eastAsiaTheme="majorEastAsia"/>
                <w:spacing w:val="-20"/>
                <w:sz w:val="15"/>
                <w:szCs w:val="15"/>
                <w14:numSpacing w14:val="proportional"/>
              </w:rPr>
            </w:pPr>
            <w:r>
              <w:rPr>
                <w:rFonts w:hint="default" w:ascii="Times New Roman" w:hAnsi="Times New Roman" w:cs="Times New Roman" w:eastAsiaTheme="majorEastAsia"/>
                <w:i/>
                <w:iCs/>
                <w:spacing w:val="-20"/>
                <w:sz w:val="15"/>
                <w:szCs w:val="15"/>
                <w14:numSpacing w14:val="proportional"/>
              </w:rPr>
              <w:t xml:space="preserve">      </w:t>
            </w:r>
            <w:r>
              <w:rPr>
                <w:rFonts w:hint="default" w:ascii="Times New Roman" w:hAnsi="Times New Roman" w:cs="Times New Roman" w:eastAsiaTheme="majorEastAsia"/>
                <w:spacing w:val="-20"/>
                <w:sz w:val="15"/>
                <w:szCs w:val="15"/>
                <w14:numSpacing w14:val="proportional"/>
              </w:rPr>
              <w:t xml:space="preserve">     </w:t>
            </w:r>
            <w:r>
              <w:rPr>
                <w:rFonts w:hint="eastAsia" w:ascii="Times New Roman" w:hAnsi="Times New Roman" w:cs="Times New Roman" w:eastAsiaTheme="majorEastAsia"/>
                <w:spacing w:val="-20"/>
                <w:sz w:val="15"/>
                <w:szCs w:val="15"/>
                <w:lang w:val="en-US" w:eastAsia="zh-CN"/>
                <w14:numSpacing w14:val="proportional"/>
              </w:rPr>
              <w:t xml:space="preserve">            </w:t>
            </w:r>
            <w:r>
              <w:rPr>
                <w:rFonts w:hint="default" w:ascii="Times New Roman" w:hAnsi="Times New Roman" w:cs="Times New Roman" w:eastAsiaTheme="majorEastAsia"/>
                <w:spacing w:val="-20"/>
                <w:sz w:val="15"/>
                <w:szCs w:val="15"/>
                <w14:numSpacing w14:val="proportional"/>
              </w:rPr>
              <w:t xml:space="preserve"> </w:t>
            </w:r>
            <w:r>
              <w:rPr>
                <w:rFonts w:hint="default" w:ascii="Times New Roman" w:hAnsi="Times New Roman" w:cs="Times New Roman" w:eastAsiaTheme="majorEastAsia"/>
                <w:i/>
                <w:iCs/>
                <w:spacing w:val="-20"/>
                <w:sz w:val="15"/>
                <w:szCs w:val="15"/>
                <w14:numSpacing w14:val="proportional"/>
              </w:rPr>
              <w:t>N</w:t>
            </w:r>
            <w:r>
              <w:rPr>
                <w:rFonts w:hint="default" w:ascii="Times New Roman" w:hAnsi="Times New Roman" w:cs="Times New Roman" w:eastAsiaTheme="majorEastAsia"/>
                <w:spacing w:val="-20"/>
                <w:sz w:val="15"/>
                <w:szCs w:val="15"/>
                <w14:numSpacing w14:val="proportional"/>
              </w:rPr>
              <w:t>（</w:t>
            </w:r>
            <w:r>
              <w:rPr>
                <w:rFonts w:hint="eastAsia" w:ascii="Times New Roman" w:hAnsi="Times New Roman" w:cs="Times New Roman" w:eastAsiaTheme="majorEastAsia"/>
                <w:spacing w:val="-20"/>
                <w:sz w:val="15"/>
                <w:szCs w:val="15"/>
                <w:lang w:val="en-US" w:eastAsia="zh-CN"/>
                <w14:numSpacing w14:val="proportional"/>
              </w:rPr>
              <w:t xml:space="preserve"> </w:t>
            </w:r>
            <w:r>
              <w:rPr>
                <w:rFonts w:hint="default" w:ascii="Times New Roman" w:hAnsi="Times New Roman" w:cs="Times New Roman" w:eastAsiaTheme="majorEastAsia"/>
                <w:spacing w:val="-20"/>
                <w:sz w:val="15"/>
                <w:szCs w:val="15"/>
                <w14:numSpacing w14:val="proportional"/>
              </w:rPr>
              <w:t>击</w:t>
            </w:r>
            <w:r>
              <w:rPr>
                <w:rFonts w:hint="eastAsia" w:ascii="Times New Roman" w:hAnsi="Times New Roman" w:cs="Times New Roman" w:eastAsiaTheme="majorEastAsia"/>
                <w:spacing w:val="-20"/>
                <w:sz w:val="15"/>
                <w:szCs w:val="15"/>
                <w:lang w:val="en-US" w:eastAsia="zh-CN"/>
                <w14:numSpacing w14:val="proportional"/>
              </w:rPr>
              <w:t xml:space="preserve"> </w:t>
            </w:r>
            <w:r>
              <w:rPr>
                <w:rFonts w:hint="default" w:ascii="Times New Roman" w:hAnsi="Times New Roman" w:cs="Times New Roman" w:eastAsiaTheme="majorEastAsia"/>
                <w:spacing w:val="-20"/>
                <w:sz w:val="15"/>
                <w:szCs w:val="15"/>
                <w14:numSpacing w14:val="proportional"/>
              </w:rPr>
              <w:t>）</w:t>
            </w:r>
          </w:p>
          <w:p w14:paraId="7A1E3525">
            <w:pPr>
              <w:snapToGrid w:val="0"/>
              <w:spacing w:line="240" w:lineRule="auto"/>
              <w:jc w:val="left"/>
              <w:rPr>
                <w:rFonts w:hint="default" w:ascii="Times New Roman" w:hAnsi="Times New Roman" w:cs="Times New Roman" w:eastAsiaTheme="majorEastAsia"/>
                <w:spacing w:val="-20"/>
                <w:sz w:val="15"/>
                <w:szCs w:val="15"/>
                <w14:numSpacing w14:val="proportional"/>
              </w:rPr>
            </w:pPr>
            <w:r>
              <w:rPr>
                <w:rFonts w:hint="default" w:ascii="Times New Roman" w:hAnsi="Times New Roman" w:cs="Times New Roman" w:eastAsiaTheme="majorEastAsia"/>
                <w:spacing w:val="-20"/>
                <w:sz w:val="15"/>
                <w:szCs w:val="15"/>
                <w14:numSpacing w14:val="proportional"/>
              </w:rPr>
              <w:t>桩</w:t>
            </w:r>
            <w:r>
              <w:rPr>
                <w:rFonts w:hint="eastAsia" w:ascii="Times New Roman" w:hAnsi="Times New Roman" w:cs="Times New Roman" w:eastAsiaTheme="majorEastAsia"/>
                <w:spacing w:val="-20"/>
                <w:sz w:val="15"/>
                <w:szCs w:val="15"/>
                <w:lang w:val="en-US" w:eastAsia="zh-CN"/>
                <w14:numSpacing w14:val="proportional"/>
              </w:rPr>
              <w:t xml:space="preserve"> </w:t>
            </w:r>
            <w:r>
              <w:rPr>
                <w:rFonts w:hint="default" w:ascii="Times New Roman" w:hAnsi="Times New Roman" w:cs="Times New Roman" w:eastAsiaTheme="majorEastAsia"/>
                <w:spacing w:val="-20"/>
                <w:sz w:val="15"/>
                <w:szCs w:val="15"/>
                <w14:numSpacing w14:val="proportional"/>
              </w:rPr>
              <w:t>入</w:t>
            </w:r>
            <w:r>
              <w:rPr>
                <w:rFonts w:hint="eastAsia" w:ascii="Times New Roman" w:hAnsi="Times New Roman" w:cs="Times New Roman" w:eastAsiaTheme="majorEastAsia"/>
                <w:spacing w:val="-20"/>
                <w:sz w:val="15"/>
                <w:szCs w:val="15"/>
                <w:lang w:val="en-US" w:eastAsia="zh-CN"/>
                <w14:numSpacing w14:val="proportional"/>
              </w:rPr>
              <w:t xml:space="preserve"> </w:t>
            </w:r>
            <w:r>
              <w:rPr>
                <w:rFonts w:hint="default" w:ascii="Times New Roman" w:hAnsi="Times New Roman" w:cs="Times New Roman" w:eastAsiaTheme="majorEastAsia"/>
                <w:spacing w:val="-20"/>
                <w:sz w:val="15"/>
                <w:szCs w:val="15"/>
                <w14:numSpacing w14:val="proportional"/>
              </w:rPr>
              <w:t>土</w:t>
            </w:r>
            <w:r>
              <w:rPr>
                <w:rFonts w:hint="eastAsia" w:ascii="Times New Roman" w:hAnsi="Times New Roman" w:cs="Times New Roman" w:eastAsiaTheme="majorEastAsia"/>
                <w:spacing w:val="-20"/>
                <w:sz w:val="15"/>
                <w:szCs w:val="15"/>
                <w:lang w:val="en-US" w:eastAsia="zh-CN"/>
                <w14:numSpacing w14:val="proportional"/>
              </w:rPr>
              <w:t xml:space="preserve"> </w:t>
            </w:r>
            <w:r>
              <w:rPr>
                <w:rFonts w:hint="default" w:ascii="Times New Roman" w:hAnsi="Times New Roman" w:cs="Times New Roman" w:eastAsiaTheme="majorEastAsia"/>
                <w:spacing w:val="-20"/>
                <w:sz w:val="15"/>
                <w:szCs w:val="15"/>
                <w14:numSpacing w14:val="proportional"/>
              </w:rPr>
              <w:t>深</w:t>
            </w:r>
            <w:r>
              <w:rPr>
                <w:rFonts w:hint="eastAsia" w:ascii="Times New Roman" w:hAnsi="Times New Roman" w:cs="Times New Roman" w:eastAsiaTheme="majorEastAsia"/>
                <w:spacing w:val="-20"/>
                <w:sz w:val="15"/>
                <w:szCs w:val="15"/>
                <w:lang w:val="en-US" w:eastAsia="zh-CN"/>
                <w14:numSpacing w14:val="proportional"/>
              </w:rPr>
              <w:t xml:space="preserve"> </w:t>
            </w:r>
            <w:r>
              <w:rPr>
                <w:rFonts w:hint="default" w:ascii="Times New Roman" w:hAnsi="Times New Roman" w:cs="Times New Roman" w:eastAsiaTheme="majorEastAsia"/>
                <w:spacing w:val="-20"/>
                <w:sz w:val="15"/>
                <w:szCs w:val="15"/>
                <w14:numSpacing w14:val="proportional"/>
              </w:rPr>
              <w:t>度（</w:t>
            </w:r>
            <w:r>
              <w:rPr>
                <w:rFonts w:hint="eastAsia" w:ascii="Times New Roman" w:hAnsi="Times New Roman" w:cs="Times New Roman" w:eastAsiaTheme="majorEastAsia"/>
                <w:spacing w:val="-20"/>
                <w:sz w:val="15"/>
                <w:szCs w:val="15"/>
                <w:lang w:val="en-US" w:eastAsia="zh-CN"/>
                <w14:numSpacing w14:val="proportional"/>
              </w:rPr>
              <w:t xml:space="preserve"> </w:t>
            </w:r>
            <w:r>
              <w:rPr>
                <w:rFonts w:hint="default" w:ascii="Times New Roman" w:hAnsi="Times New Roman" w:cs="Times New Roman" w:eastAsiaTheme="majorEastAsia"/>
                <w:spacing w:val="-20"/>
                <w:sz w:val="15"/>
                <w:szCs w:val="15"/>
                <w14:numSpacing w14:val="proportional"/>
              </w:rPr>
              <w:t>m</w:t>
            </w:r>
            <w:r>
              <w:rPr>
                <w:rFonts w:hint="eastAsia" w:ascii="Times New Roman" w:hAnsi="Times New Roman" w:cs="Times New Roman" w:eastAsiaTheme="majorEastAsia"/>
                <w:spacing w:val="-20"/>
                <w:sz w:val="15"/>
                <w:szCs w:val="15"/>
                <w:lang w:val="en-US" w:eastAsia="zh-CN"/>
                <w14:numSpacing w14:val="proportional"/>
              </w:rPr>
              <w:t xml:space="preserve"> </w:t>
            </w:r>
            <w:r>
              <w:rPr>
                <w:rFonts w:hint="default" w:ascii="Times New Roman" w:hAnsi="Times New Roman" w:cs="Times New Roman" w:eastAsiaTheme="majorEastAsia"/>
                <w:spacing w:val="-20"/>
                <w:sz w:val="15"/>
                <w:szCs w:val="15"/>
                <w14:numSpacing w14:val="proportional"/>
              </w:rPr>
              <w:t>）</w:t>
            </w:r>
          </w:p>
        </w:tc>
        <w:tc>
          <w:tcPr>
            <w:tcW w:w="470" w:type="pct"/>
            <w:tcBorders>
              <w:left w:val="single" w:color="auto" w:sz="2" w:space="0"/>
              <w:tl2br w:val="nil"/>
              <w:tr2bl w:val="nil"/>
            </w:tcBorders>
            <w:vAlign w:val="center"/>
          </w:tcPr>
          <w:p w14:paraId="235FB47F">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10</w:t>
            </w:r>
          </w:p>
        </w:tc>
        <w:tc>
          <w:tcPr>
            <w:tcW w:w="585" w:type="pct"/>
            <w:tcBorders>
              <w:tl2br w:val="nil"/>
              <w:tr2bl w:val="nil"/>
            </w:tcBorders>
            <w:vAlign w:val="center"/>
          </w:tcPr>
          <w:p w14:paraId="20CC7907">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20</w:t>
            </w:r>
          </w:p>
        </w:tc>
        <w:tc>
          <w:tcPr>
            <w:tcW w:w="636" w:type="pct"/>
            <w:tcBorders>
              <w:tl2br w:val="nil"/>
              <w:tr2bl w:val="nil"/>
            </w:tcBorders>
            <w:vAlign w:val="center"/>
          </w:tcPr>
          <w:p w14:paraId="6700A1E7">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30</w:t>
            </w:r>
          </w:p>
        </w:tc>
        <w:tc>
          <w:tcPr>
            <w:tcW w:w="636" w:type="pct"/>
            <w:tcBorders>
              <w:tl2br w:val="nil"/>
              <w:tr2bl w:val="nil"/>
            </w:tcBorders>
            <w:vAlign w:val="center"/>
          </w:tcPr>
          <w:p w14:paraId="4C0BE0A2">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40</w:t>
            </w:r>
          </w:p>
        </w:tc>
        <w:tc>
          <w:tcPr>
            <w:tcW w:w="636" w:type="pct"/>
            <w:tcBorders>
              <w:tl2br w:val="nil"/>
              <w:tr2bl w:val="nil"/>
            </w:tcBorders>
            <w:vAlign w:val="center"/>
          </w:tcPr>
          <w:p w14:paraId="2B552C42">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50</w:t>
            </w:r>
          </w:p>
        </w:tc>
        <w:tc>
          <w:tcPr>
            <w:tcW w:w="718" w:type="pct"/>
            <w:tcBorders>
              <w:tl2br w:val="nil"/>
              <w:tr2bl w:val="nil"/>
            </w:tcBorders>
            <w:vAlign w:val="center"/>
          </w:tcPr>
          <w:p w14:paraId="35072739">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70</w:t>
            </w:r>
          </w:p>
        </w:tc>
      </w:tr>
      <w:tr w14:paraId="6D489242">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231" w:hRule="atLeast"/>
          <w:jc w:val="center"/>
        </w:trPr>
        <w:tc>
          <w:tcPr>
            <w:tcW w:w="1317" w:type="pct"/>
            <w:tcBorders>
              <w:top w:val="single" w:color="auto" w:sz="2" w:space="0"/>
              <w:tl2br w:val="nil"/>
              <w:tr2bl w:val="nil"/>
            </w:tcBorders>
            <w:vAlign w:val="center"/>
          </w:tcPr>
          <w:p w14:paraId="1A40A930">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15</w:t>
            </w:r>
          </w:p>
        </w:tc>
        <w:tc>
          <w:tcPr>
            <w:tcW w:w="470" w:type="pct"/>
            <w:tcBorders>
              <w:tl2br w:val="nil"/>
              <w:tr2bl w:val="nil"/>
            </w:tcBorders>
            <w:vAlign w:val="center"/>
          </w:tcPr>
          <w:p w14:paraId="1AB6B3F3">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1800</w:t>
            </w:r>
          </w:p>
        </w:tc>
        <w:tc>
          <w:tcPr>
            <w:tcW w:w="585" w:type="pct"/>
            <w:tcBorders>
              <w:tl2br w:val="nil"/>
              <w:tr2bl w:val="nil"/>
            </w:tcBorders>
            <w:vAlign w:val="center"/>
          </w:tcPr>
          <w:p w14:paraId="6D8287D6">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4000</w:t>
            </w:r>
          </w:p>
        </w:tc>
        <w:tc>
          <w:tcPr>
            <w:tcW w:w="636" w:type="pct"/>
            <w:tcBorders>
              <w:tl2br w:val="nil"/>
              <w:tr2bl w:val="nil"/>
            </w:tcBorders>
            <w:vAlign w:val="center"/>
          </w:tcPr>
          <w:p w14:paraId="3A9F04DF">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6000</w:t>
            </w:r>
          </w:p>
        </w:tc>
        <w:tc>
          <w:tcPr>
            <w:tcW w:w="636" w:type="pct"/>
            <w:tcBorders>
              <w:tl2br w:val="nil"/>
              <w:tr2bl w:val="nil"/>
            </w:tcBorders>
            <w:vAlign w:val="center"/>
          </w:tcPr>
          <w:p w14:paraId="311DACE9">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7800</w:t>
            </w:r>
          </w:p>
        </w:tc>
        <w:tc>
          <w:tcPr>
            <w:tcW w:w="636" w:type="pct"/>
            <w:tcBorders>
              <w:tl2br w:val="nil"/>
              <w:tr2bl w:val="nil"/>
            </w:tcBorders>
            <w:vAlign w:val="center"/>
          </w:tcPr>
          <w:p w14:paraId="675F68F5">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8200</w:t>
            </w:r>
          </w:p>
        </w:tc>
        <w:tc>
          <w:tcPr>
            <w:tcW w:w="718" w:type="pct"/>
            <w:tcBorders>
              <w:tl2br w:val="nil"/>
              <w:tr2bl w:val="nil"/>
            </w:tcBorders>
            <w:vAlign w:val="center"/>
          </w:tcPr>
          <w:p w14:paraId="015C0240">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9000</w:t>
            </w:r>
          </w:p>
        </w:tc>
      </w:tr>
      <w:tr w14:paraId="7DBCEAC6">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215" w:hRule="atLeast"/>
          <w:jc w:val="center"/>
        </w:trPr>
        <w:tc>
          <w:tcPr>
            <w:tcW w:w="1317" w:type="pct"/>
            <w:tcBorders>
              <w:tl2br w:val="nil"/>
              <w:tr2bl w:val="nil"/>
            </w:tcBorders>
            <w:vAlign w:val="center"/>
          </w:tcPr>
          <w:p w14:paraId="3014BF07">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20</w:t>
            </w:r>
          </w:p>
        </w:tc>
        <w:tc>
          <w:tcPr>
            <w:tcW w:w="470" w:type="pct"/>
            <w:tcBorders>
              <w:tl2br w:val="nil"/>
              <w:tr2bl w:val="nil"/>
            </w:tcBorders>
            <w:vAlign w:val="center"/>
          </w:tcPr>
          <w:p w14:paraId="3F19E5EB">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2000</w:t>
            </w:r>
          </w:p>
        </w:tc>
        <w:tc>
          <w:tcPr>
            <w:tcW w:w="585" w:type="pct"/>
            <w:tcBorders>
              <w:tl2br w:val="nil"/>
              <w:tr2bl w:val="nil"/>
            </w:tcBorders>
            <w:vAlign w:val="center"/>
          </w:tcPr>
          <w:p w14:paraId="68E5A1C2">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4400</w:t>
            </w:r>
          </w:p>
        </w:tc>
        <w:tc>
          <w:tcPr>
            <w:tcW w:w="636" w:type="pct"/>
            <w:tcBorders>
              <w:tl2br w:val="nil"/>
              <w:tr2bl w:val="nil"/>
            </w:tcBorders>
            <w:vAlign w:val="center"/>
          </w:tcPr>
          <w:p w14:paraId="7B641CC8">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6000</w:t>
            </w:r>
          </w:p>
        </w:tc>
        <w:tc>
          <w:tcPr>
            <w:tcW w:w="636" w:type="pct"/>
            <w:tcBorders>
              <w:tl2br w:val="nil"/>
              <w:tr2bl w:val="nil"/>
            </w:tcBorders>
            <w:vAlign w:val="center"/>
          </w:tcPr>
          <w:p w14:paraId="18D12CA4">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8200</w:t>
            </w:r>
          </w:p>
        </w:tc>
        <w:tc>
          <w:tcPr>
            <w:tcW w:w="636" w:type="pct"/>
            <w:tcBorders>
              <w:tl2br w:val="nil"/>
              <w:tr2bl w:val="nil"/>
            </w:tcBorders>
            <w:vAlign w:val="center"/>
          </w:tcPr>
          <w:p w14:paraId="73CF529C">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8600</w:t>
            </w:r>
          </w:p>
        </w:tc>
        <w:tc>
          <w:tcPr>
            <w:tcW w:w="718" w:type="pct"/>
            <w:vMerge w:val="restart"/>
            <w:tcBorders>
              <w:tl2br w:val="nil"/>
              <w:tr2bl w:val="nil"/>
            </w:tcBorders>
            <w:vAlign w:val="center"/>
          </w:tcPr>
          <w:p w14:paraId="69E633EC">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11000</w:t>
            </w:r>
          </w:p>
        </w:tc>
      </w:tr>
      <w:tr w14:paraId="24015F53">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255" w:hRule="atLeast"/>
          <w:jc w:val="center"/>
        </w:trPr>
        <w:tc>
          <w:tcPr>
            <w:tcW w:w="1317" w:type="pct"/>
            <w:tcBorders>
              <w:tl2br w:val="nil"/>
              <w:tr2bl w:val="nil"/>
            </w:tcBorders>
            <w:vAlign w:val="center"/>
          </w:tcPr>
          <w:p w14:paraId="67532050">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25</w:t>
            </w:r>
          </w:p>
        </w:tc>
        <w:tc>
          <w:tcPr>
            <w:tcW w:w="470" w:type="pct"/>
            <w:tcBorders>
              <w:tl2br w:val="nil"/>
              <w:tr2bl w:val="nil"/>
            </w:tcBorders>
            <w:vAlign w:val="center"/>
          </w:tcPr>
          <w:p w14:paraId="423CF29C">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2200</w:t>
            </w:r>
          </w:p>
        </w:tc>
        <w:tc>
          <w:tcPr>
            <w:tcW w:w="585" w:type="pct"/>
            <w:tcBorders>
              <w:tl2br w:val="nil"/>
              <w:tr2bl w:val="nil"/>
            </w:tcBorders>
            <w:vAlign w:val="center"/>
          </w:tcPr>
          <w:p w14:paraId="6AED7600">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4800</w:t>
            </w:r>
          </w:p>
        </w:tc>
        <w:tc>
          <w:tcPr>
            <w:tcW w:w="636" w:type="pct"/>
            <w:tcBorders>
              <w:tl2br w:val="nil"/>
              <w:tr2bl w:val="nil"/>
            </w:tcBorders>
            <w:vAlign w:val="center"/>
          </w:tcPr>
          <w:p w14:paraId="7243EBCC">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7000</w:t>
            </w:r>
          </w:p>
        </w:tc>
        <w:tc>
          <w:tcPr>
            <w:tcW w:w="636" w:type="pct"/>
            <w:tcBorders>
              <w:tl2br w:val="nil"/>
              <w:tr2bl w:val="nil"/>
            </w:tcBorders>
            <w:vAlign w:val="center"/>
          </w:tcPr>
          <w:p w14:paraId="0AE3317D">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8600</w:t>
            </w:r>
          </w:p>
        </w:tc>
        <w:tc>
          <w:tcPr>
            <w:tcW w:w="636" w:type="pct"/>
            <w:tcBorders>
              <w:tl2br w:val="nil"/>
              <w:tr2bl w:val="nil"/>
            </w:tcBorders>
            <w:vAlign w:val="center"/>
          </w:tcPr>
          <w:p w14:paraId="5971C7A5">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9000</w:t>
            </w:r>
          </w:p>
        </w:tc>
        <w:tc>
          <w:tcPr>
            <w:tcW w:w="718" w:type="pct"/>
            <w:vMerge w:val="continue"/>
            <w:tcBorders>
              <w:tl2br w:val="nil"/>
              <w:tr2bl w:val="nil"/>
            </w:tcBorders>
            <w:vAlign w:val="center"/>
          </w:tcPr>
          <w:p w14:paraId="3A2EA25A">
            <w:pPr>
              <w:jc w:val="center"/>
              <w:rPr>
                <w:rFonts w:hint="default" w:ascii="Times New Roman" w:hAnsi="Times New Roman" w:eastAsia="黑体" w:cs="Times New Roman"/>
                <w:sz w:val="15"/>
                <w:szCs w:val="15"/>
              </w:rPr>
            </w:pPr>
          </w:p>
        </w:tc>
      </w:tr>
      <w:tr w14:paraId="5CB3BE5D">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1317" w:type="pct"/>
            <w:tcBorders>
              <w:tl2br w:val="nil"/>
              <w:tr2bl w:val="nil"/>
            </w:tcBorders>
            <w:vAlign w:val="center"/>
          </w:tcPr>
          <w:p w14:paraId="02BC2738">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30</w:t>
            </w:r>
          </w:p>
        </w:tc>
        <w:tc>
          <w:tcPr>
            <w:tcW w:w="470" w:type="pct"/>
            <w:tcBorders>
              <w:tl2br w:val="nil"/>
              <w:tr2bl w:val="nil"/>
            </w:tcBorders>
            <w:vAlign w:val="center"/>
          </w:tcPr>
          <w:p w14:paraId="249FA895">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2400</w:t>
            </w:r>
          </w:p>
        </w:tc>
        <w:tc>
          <w:tcPr>
            <w:tcW w:w="585" w:type="pct"/>
            <w:tcBorders>
              <w:tl2br w:val="nil"/>
              <w:tr2bl w:val="nil"/>
            </w:tcBorders>
            <w:vAlign w:val="center"/>
          </w:tcPr>
          <w:p w14:paraId="2D5A4523">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5000</w:t>
            </w:r>
          </w:p>
        </w:tc>
        <w:tc>
          <w:tcPr>
            <w:tcW w:w="636" w:type="pct"/>
            <w:tcBorders>
              <w:tl2br w:val="nil"/>
              <w:tr2bl w:val="nil"/>
            </w:tcBorders>
            <w:vAlign w:val="center"/>
          </w:tcPr>
          <w:p w14:paraId="267E6F1D">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7400</w:t>
            </w:r>
          </w:p>
        </w:tc>
        <w:tc>
          <w:tcPr>
            <w:tcW w:w="636" w:type="pct"/>
            <w:tcBorders>
              <w:tl2br w:val="nil"/>
              <w:tr2bl w:val="nil"/>
            </w:tcBorders>
            <w:vAlign w:val="center"/>
          </w:tcPr>
          <w:p w14:paraId="71DE5A24">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9000</w:t>
            </w:r>
          </w:p>
        </w:tc>
        <w:tc>
          <w:tcPr>
            <w:tcW w:w="636" w:type="pct"/>
            <w:tcBorders>
              <w:tl2br w:val="nil"/>
              <w:tr2bl w:val="nil"/>
            </w:tcBorders>
            <w:vAlign w:val="center"/>
          </w:tcPr>
          <w:p w14:paraId="3AEDB5B4">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9400</w:t>
            </w:r>
          </w:p>
        </w:tc>
        <w:tc>
          <w:tcPr>
            <w:tcW w:w="718" w:type="pct"/>
            <w:vMerge w:val="continue"/>
            <w:tcBorders>
              <w:tl2br w:val="nil"/>
              <w:tr2bl w:val="nil"/>
            </w:tcBorders>
            <w:vAlign w:val="center"/>
          </w:tcPr>
          <w:p w14:paraId="54962673">
            <w:pPr>
              <w:jc w:val="center"/>
              <w:rPr>
                <w:rFonts w:hint="default" w:ascii="Times New Roman" w:hAnsi="Times New Roman" w:eastAsia="黑体" w:cs="Times New Roman"/>
                <w:sz w:val="15"/>
                <w:szCs w:val="15"/>
              </w:rPr>
            </w:pPr>
          </w:p>
        </w:tc>
      </w:tr>
      <w:tr w14:paraId="53911E54">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132" w:hRule="atLeast"/>
          <w:jc w:val="center"/>
        </w:trPr>
        <w:tc>
          <w:tcPr>
            <w:tcW w:w="1317" w:type="pct"/>
            <w:tcBorders>
              <w:tl2br w:val="nil"/>
              <w:tr2bl w:val="nil"/>
            </w:tcBorders>
            <w:vAlign w:val="center"/>
          </w:tcPr>
          <w:p w14:paraId="7DB39EED">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&gt;30</w:t>
            </w:r>
          </w:p>
        </w:tc>
        <w:tc>
          <w:tcPr>
            <w:tcW w:w="470" w:type="pct"/>
            <w:tcBorders>
              <w:tl2br w:val="nil"/>
              <w:tr2bl w:val="nil"/>
            </w:tcBorders>
            <w:vAlign w:val="center"/>
          </w:tcPr>
          <w:p w14:paraId="71CEABF0">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2600</w:t>
            </w:r>
          </w:p>
        </w:tc>
        <w:tc>
          <w:tcPr>
            <w:tcW w:w="585" w:type="pct"/>
            <w:tcBorders>
              <w:tl2br w:val="nil"/>
              <w:tr2bl w:val="nil"/>
            </w:tcBorders>
            <w:vAlign w:val="center"/>
          </w:tcPr>
          <w:p w14:paraId="554FC9FA">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6000</w:t>
            </w:r>
          </w:p>
        </w:tc>
        <w:tc>
          <w:tcPr>
            <w:tcW w:w="636" w:type="pct"/>
            <w:tcBorders>
              <w:tl2br w:val="nil"/>
              <w:tr2bl w:val="nil"/>
            </w:tcBorders>
            <w:vAlign w:val="center"/>
          </w:tcPr>
          <w:p w14:paraId="498EFF77">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7800</w:t>
            </w:r>
          </w:p>
        </w:tc>
        <w:tc>
          <w:tcPr>
            <w:tcW w:w="636" w:type="pct"/>
            <w:tcBorders>
              <w:tl2br w:val="nil"/>
              <w:tr2bl w:val="nil"/>
            </w:tcBorders>
            <w:vAlign w:val="center"/>
          </w:tcPr>
          <w:p w14:paraId="630B4D59">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9400</w:t>
            </w:r>
          </w:p>
        </w:tc>
        <w:tc>
          <w:tcPr>
            <w:tcW w:w="636" w:type="pct"/>
            <w:tcBorders>
              <w:tl2br w:val="nil"/>
              <w:tr2bl w:val="nil"/>
            </w:tcBorders>
            <w:vAlign w:val="center"/>
          </w:tcPr>
          <w:p w14:paraId="061ADB7E">
            <w:pPr>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10000</w:t>
            </w:r>
          </w:p>
        </w:tc>
        <w:tc>
          <w:tcPr>
            <w:tcW w:w="718" w:type="pct"/>
            <w:vMerge w:val="continue"/>
            <w:tcBorders>
              <w:tl2br w:val="nil"/>
              <w:tr2bl w:val="nil"/>
            </w:tcBorders>
            <w:vAlign w:val="center"/>
          </w:tcPr>
          <w:p w14:paraId="19A12F1E">
            <w:pPr>
              <w:jc w:val="center"/>
              <w:rPr>
                <w:rFonts w:hint="default" w:ascii="Times New Roman" w:hAnsi="Times New Roman" w:eastAsia="黑体" w:cs="Times New Roman"/>
                <w:sz w:val="15"/>
                <w:szCs w:val="15"/>
              </w:rPr>
            </w:pPr>
          </w:p>
        </w:tc>
      </w:tr>
    </w:tbl>
    <w:p w14:paraId="4E993CC3">
      <w:pPr>
        <w:ind w:firstLine="150" w:firstLineChars="100"/>
        <w:rPr>
          <w:rFonts w:hint="default" w:ascii="Times New Roman" w:hAnsi="Times New Roman" w:eastAsia="黑体" w:cs="Times New Roman"/>
          <w:b/>
          <w:bCs/>
          <w:color w:val="auto"/>
          <w:kern w:val="0"/>
          <w:sz w:val="21"/>
          <w:szCs w:val="21"/>
          <w:highlight w:val="none"/>
          <w:lang w:val="en-US" w:eastAsia="zh-CN" w:bidi="ar-SA"/>
        </w:rPr>
      </w:pPr>
      <w:r>
        <w:rPr>
          <w:rFonts w:hint="eastAsia" w:ascii="Times New Roman" w:hAnsi="Times New Roman" w:cs="Times New Roman"/>
          <w:bCs/>
          <w:sz w:val="15"/>
          <w:szCs w:val="15"/>
          <w:highlight w:val="none"/>
        </w:rPr>
        <w:t>注：</w:t>
      </w:r>
      <w:r>
        <w:rPr>
          <w:rFonts w:hint="default" w:ascii="Times New Roman" w:hAnsi="Times New Roman" w:cs="Times New Roman"/>
          <w:bCs/>
          <w:sz w:val="15"/>
          <w:szCs w:val="15"/>
          <w:highlight w:val="none"/>
        </w:rPr>
        <w:t>当</w:t>
      </w:r>
      <w:r>
        <w:rPr>
          <w:rFonts w:hint="eastAsia" w:ascii="Times New Roman" w:hAnsi="Times New Roman" w:cs="Times New Roman"/>
          <w:bCs/>
          <w:sz w:val="15"/>
          <w:szCs w:val="15"/>
          <w:highlight w:val="none"/>
          <w:lang w:val="en-US" w:eastAsia="zh-CN"/>
        </w:rPr>
        <w:t>N或桩入土深度</w:t>
      </w:r>
      <w:r>
        <w:rPr>
          <w:rFonts w:hint="eastAsia" w:ascii="Times New Roman" w:hAnsi="Times New Roman" w:cs="Times New Roman"/>
          <w:bCs/>
          <w:sz w:val="15"/>
          <w:szCs w:val="15"/>
          <w:highlight w:val="none"/>
        </w:rPr>
        <w:t>为</w:t>
      </w:r>
      <w:r>
        <w:rPr>
          <w:rFonts w:hint="default" w:ascii="Times New Roman" w:hAnsi="Times New Roman" w:cs="Times New Roman"/>
          <w:bCs/>
          <w:sz w:val="15"/>
          <w:szCs w:val="15"/>
          <w:highlight w:val="none"/>
        </w:rPr>
        <w:t>非表列值时，</w:t>
      </w:r>
      <m:oMath>
        <m:sSub>
          <m:sSubPr>
            <m:ctrlPr>
              <w:rPr>
                <w:rFonts w:hint="default" w:ascii="Cambria Math" w:hAnsi="Cambria Math" w:eastAsia="黑体" w:cs="Times New Roman"/>
                <w:b w:val="0"/>
                <w:bCs/>
                <w:sz w:val="18"/>
                <w:szCs w:val="18"/>
                <w:highlight w:val="none"/>
              </w:rPr>
            </m:ctrlPr>
          </m:sSubPr>
          <m:e>
            <m:r>
              <m:rPr>
                <m:sty m:val="p"/>
              </m:rPr>
              <w:rPr>
                <w:rFonts w:hint="default" w:ascii="Cambria Math" w:hAnsi="Cambria Math" w:eastAsia="黑体" w:cs="Times New Roman"/>
                <w:sz w:val="18"/>
                <w:szCs w:val="18"/>
                <w:highlight w:val="none"/>
              </w:rPr>
              <m:t>q</m:t>
            </m:r>
            <m:ctrlPr>
              <w:rPr>
                <w:rFonts w:hint="default" w:ascii="Cambria Math" w:hAnsi="Cambria Math" w:eastAsia="黑体" w:cs="Times New Roman"/>
                <w:b w:val="0"/>
                <w:bCs/>
                <w:sz w:val="18"/>
                <w:szCs w:val="18"/>
                <w:highlight w:val="none"/>
              </w:rPr>
            </m:ctrlPr>
          </m:e>
          <m:sub>
            <m:r>
              <m:rPr>
                <m:sty m:val="p"/>
              </m:rPr>
              <w:rPr>
                <w:rFonts w:hint="default" w:ascii="Cambria Math" w:hAnsi="Cambria Math" w:eastAsia="黑体" w:cs="Times New Roman"/>
                <w:sz w:val="18"/>
                <w:szCs w:val="18"/>
                <w:highlight w:val="none"/>
              </w:rPr>
              <m:t>pk</m:t>
            </m:r>
            <m:ctrlPr>
              <w:rPr>
                <w:rFonts w:hint="default" w:ascii="Cambria Math" w:hAnsi="Cambria Math" w:eastAsia="黑体" w:cs="Times New Roman"/>
                <w:b w:val="0"/>
                <w:bCs/>
                <w:sz w:val="18"/>
                <w:szCs w:val="18"/>
                <w:highlight w:val="none"/>
              </w:rPr>
            </m:ctrlPr>
          </m:sub>
        </m:sSub>
      </m:oMath>
      <w:r>
        <w:rPr>
          <w:rFonts w:hint="eastAsia" w:ascii="Times New Roman" w:hAnsi="Times New Roman" w:cs="Times New Roman"/>
          <w:bCs/>
          <w:sz w:val="15"/>
          <w:szCs w:val="15"/>
          <w:highlight w:val="none"/>
        </w:rPr>
        <w:t>可</w:t>
      </w:r>
      <w:r>
        <w:rPr>
          <w:rFonts w:hint="default" w:ascii="Times New Roman" w:hAnsi="Times New Roman" w:cs="Times New Roman"/>
          <w:bCs/>
          <w:sz w:val="15"/>
          <w:szCs w:val="15"/>
          <w:highlight w:val="none"/>
        </w:rPr>
        <w:t>内插取值</w:t>
      </w:r>
      <w:r>
        <w:rPr>
          <w:rFonts w:hint="eastAsia" w:ascii="Times New Roman" w:hAnsi="Times New Roman" w:cs="Times New Roman"/>
          <w:bCs/>
          <w:sz w:val="15"/>
          <w:szCs w:val="15"/>
          <w:highlight w:val="none"/>
        </w:rPr>
        <w:t>。</w:t>
      </w:r>
    </w:p>
    <w:p w14:paraId="477EC0D7">
      <w:pPr>
        <w:keepNext w:val="0"/>
        <w:keepLines w:val="0"/>
        <w:pageBreakBefore w:val="0"/>
        <w:widowControl w:val="0"/>
        <w:kinsoku/>
        <w:wordWrap/>
        <w:overflowPunct/>
        <w:topLinePunct w:val="0"/>
        <w:autoSpaceDE/>
        <w:autoSpaceDN/>
        <w:bidi w:val="0"/>
        <w:adjustRightInd/>
        <w:snapToGrid/>
        <w:spacing w:line="312" w:lineRule="exact"/>
        <w:ind w:firstLine="422" w:firstLineChars="200"/>
        <w:jc w:val="left"/>
        <w:textAlignment w:val="auto"/>
        <w:rPr>
          <w:rFonts w:hint="default" w:ascii="Times New Roman" w:hAnsi="Times New Roman" w:eastAsiaTheme="minorEastAsia"/>
          <w:szCs w:val="21"/>
          <w:highlight w:val="none"/>
          <w:lang w:val="en-US" w:eastAsia="zh-CN"/>
        </w:rPr>
      </w:pPr>
      <w:r>
        <w:rPr>
          <w:rFonts w:hint="eastAsia" w:ascii="Times New Roman" w:hAnsi="Times New Roman" w:eastAsia="黑体"/>
          <w:b/>
          <w:bCs/>
          <w:kern w:val="0"/>
          <w:szCs w:val="21"/>
          <w:highlight w:val="none"/>
          <w:lang w:val="en-US" w:eastAsia="zh-CN"/>
        </w:rPr>
        <w:t>2</w:t>
      </w:r>
      <w:r>
        <w:rPr>
          <w:rFonts w:hint="eastAsia" w:ascii="Times New Roman" w:hAnsi="Times New Roman" w:eastAsiaTheme="minorEastAsia"/>
          <w:szCs w:val="21"/>
          <w:highlight w:val="none"/>
          <w:lang w:val="en-US" w:eastAsia="zh-CN"/>
        </w:rPr>
        <w:t xml:space="preserve"> </w:t>
      </w:r>
      <w:r>
        <w:rPr>
          <w:rFonts w:hint="eastAsia"/>
          <w:bCs/>
          <w:color w:val="auto"/>
          <w:position w:val="0"/>
          <w:szCs w:val="18"/>
          <w:highlight w:val="none"/>
          <w:lang w:val="en-US" w:eastAsia="zh-CN"/>
        </w:rPr>
        <w:t>对于嵌岩旋挖植桩：</w:t>
      </w:r>
    </w:p>
    <w:p w14:paraId="76259C05">
      <w:pPr>
        <w:pStyle w:val="13"/>
        <w:jc w:val="right"/>
        <w:rPr>
          <w:rFonts w:hint="eastAsia" w:ascii="Times New Roman" w:hAnsi="Times New Roman" w:cs="Times New Roman" w:eastAsiaTheme="minorEastAsia"/>
          <w:kern w:val="2"/>
          <w:sz w:val="21"/>
          <w:szCs w:val="21"/>
          <w:highlight w:val="none"/>
          <w:lang w:val="en-US" w:eastAsia="zh-CN" w:bidi="ar-SA"/>
        </w:rPr>
      </w:pPr>
      <w:r>
        <w:rPr>
          <w:rFonts w:ascii="Times New Roman" w:hAnsi="Times New Roman" w:eastAsiaTheme="minorEastAsia"/>
          <w:position w:val="-14"/>
          <w:szCs w:val="21"/>
          <w:highlight w:val="none"/>
        </w:rPr>
        <w:object>
          <v:shape id="_x0000_i1112" o:spt="75" type="#_x0000_t75" style="height:19.4pt;width:123.35pt;" o:ole="t" filled="f" o:preferrelative="t" stroked="f" coordsize="21600,21600">
            <v:path/>
            <v:fill on="f" focussize="0,0"/>
            <v:stroke on="f"/>
            <v:imagedata r:id="rId180" o:title=""/>
            <o:lock v:ext="edit" aspectratio="t"/>
            <w10:wrap type="none"/>
            <w10:anchorlock/>
          </v:shape>
          <o:OLEObject Type="Embed" ProgID="Equation.3" ShapeID="_x0000_i1112" DrawAspect="Content" ObjectID="_1468075812" r:id="rId179">
            <o:LockedField>false</o:LockedField>
          </o:OLEObject>
        </w:object>
      </w:r>
      <w:r>
        <w:rPr>
          <w:rFonts w:hint="eastAsia"/>
          <w:b w:val="0"/>
        </w:rPr>
        <w:t xml:space="preserve">    </w:t>
      </w:r>
      <w:r>
        <w:rPr>
          <w:rFonts w:hint="eastAsia"/>
          <w:b w:val="0"/>
          <w:lang w:val="en-US" w:eastAsia="zh-CN"/>
        </w:rPr>
        <w:t xml:space="preserve">   </w:t>
      </w:r>
      <w:r>
        <w:rPr>
          <w:rFonts w:hint="eastAsia"/>
          <w:b w:val="0"/>
        </w:rPr>
        <w:t xml:space="preserve">   </w:t>
      </w:r>
      <w:r>
        <w:rPr>
          <w:rFonts w:hint="eastAsia" w:ascii="Times New Roman" w:hAnsi="Times New Roman" w:cs="Times New Roman" w:eastAsiaTheme="minorEastAsia"/>
          <w:kern w:val="2"/>
          <w:sz w:val="21"/>
          <w:szCs w:val="21"/>
          <w:highlight w:val="none"/>
          <w:lang w:val="en-US" w:eastAsia="zh-CN" w:bidi="ar-SA"/>
        </w:rPr>
        <w:t>(4.3.8-2)</w:t>
      </w:r>
    </w:p>
    <w:p w14:paraId="7C05F9C0">
      <w:pPr>
        <w:keepNext w:val="0"/>
        <w:keepLines w:val="0"/>
        <w:pageBreakBefore w:val="0"/>
        <w:widowControl w:val="0"/>
        <w:kinsoku/>
        <w:wordWrap/>
        <w:overflowPunct/>
        <w:topLinePunct w:val="0"/>
        <w:autoSpaceDE/>
        <w:autoSpaceDN/>
        <w:bidi w:val="0"/>
        <w:adjustRightInd/>
        <w:snapToGrid w:val="0"/>
        <w:spacing w:line="312" w:lineRule="exact"/>
        <w:textAlignment w:val="auto"/>
        <w:rPr>
          <w:rFonts w:hint="eastAsia"/>
          <w:bCs/>
          <w:position w:val="0"/>
          <w:szCs w:val="18"/>
          <w:highlight w:val="none"/>
        </w:rPr>
      </w:pPr>
      <w:r>
        <w:rPr>
          <w:rFonts w:hint="eastAsia"/>
          <w:bCs/>
          <w:position w:val="0"/>
          <w:szCs w:val="18"/>
          <w:highlight w:val="none"/>
        </w:rPr>
        <w:t>式中：</w:t>
      </w:r>
      <m:oMath>
        <m:r>
          <m:rPr>
            <m:sty m:val="p"/>
          </m:rPr>
          <w:rPr>
            <w:rFonts w:hint="eastAsia" w:ascii="Cambria Math" w:hAnsi="Cambria Math"/>
            <w:position w:val="0"/>
            <w:szCs w:val="18"/>
            <w:highlight w:val="none"/>
          </w:rPr>
          <m:t xml:space="preserve"> </m:t>
        </m:r>
      </m:oMath>
    </w:p>
    <w:p w14:paraId="6E6BB32D">
      <w:pPr>
        <w:keepNext w:val="0"/>
        <w:keepLines w:val="0"/>
        <w:pageBreakBefore w:val="0"/>
        <w:widowControl w:val="0"/>
        <w:kinsoku/>
        <w:wordWrap/>
        <w:overflowPunct/>
        <w:topLinePunct w:val="0"/>
        <w:autoSpaceDE/>
        <w:autoSpaceDN/>
        <w:bidi w:val="0"/>
        <w:adjustRightInd/>
        <w:snapToGrid/>
        <w:spacing w:line="320" w:lineRule="exact"/>
        <w:ind w:left="1276" w:hanging="709"/>
        <w:jc w:val="left"/>
        <w:textAlignment w:val="auto"/>
        <w:rPr>
          <w:rFonts w:hint="eastAsia" w:ascii="Times New Roman" w:hAnsi="Times New Roman" w:eastAsia="宋体" w:cs="Times New Roman"/>
          <w:szCs w:val="21"/>
          <w:lang w:eastAsia="zh-CN"/>
        </w:rPr>
      </w:pPr>
      <w:r>
        <w:rPr>
          <w:rFonts w:ascii="Times New Roman" w:hAnsi="Times New Roman" w:eastAsiaTheme="minorEastAsia"/>
          <w:position w:val="-12"/>
          <w:szCs w:val="21"/>
          <w:highlight w:val="none"/>
        </w:rPr>
        <w:object>
          <v:shape id="_x0000_i1113" o:spt="75" type="#_x0000_t75" style="height:17.5pt;width:17.35pt;" o:ole="t" filled="f" o:preferrelative="t" stroked="f" coordsize="21600,21600">
            <v:path/>
            <v:fill on="f" focussize="0,0"/>
            <v:stroke on="f"/>
            <v:imagedata r:id="rId182" o:title=""/>
            <o:lock v:ext="edit" aspectratio="t"/>
            <w10:wrap type="none"/>
            <w10:anchorlock/>
          </v:shape>
          <o:OLEObject Type="Embed" ProgID="Equation.3" ShapeID="_x0000_i1113" DrawAspect="Content" ObjectID="_1468075813" r:id="rId181">
            <o:LockedField>false</o:LockedField>
          </o:OLEObject>
        </w:object>
      </w:r>
      <w:r>
        <w:rPr>
          <w:rFonts w:ascii="Times New Roman" w:hAnsi="Times New Roman" w:cs="Times New Roman"/>
          <w:szCs w:val="21"/>
        </w:rPr>
        <w:t>——</w:t>
      </w:r>
      <w:r>
        <w:rPr>
          <w:rFonts w:hint="eastAsia"/>
          <w:bCs/>
          <w:position w:val="0"/>
          <w:szCs w:val="18"/>
          <w:highlight w:val="none"/>
          <w:lang w:val="en-US" w:eastAsia="zh-CN"/>
        </w:rPr>
        <w:t>岩石饱和单轴抗压强度标准值</w:t>
      </w:r>
      <w:r>
        <w:rPr>
          <w:rFonts w:ascii="Times New Roman" w:hAnsi="Times New Roman" w:cs="Times New Roman"/>
          <w:bCs/>
          <w:szCs w:val="21"/>
        </w:rPr>
        <w:t>（</w:t>
      </w:r>
      <w:r>
        <w:rPr>
          <w:rFonts w:hint="eastAsia" w:ascii="Times New Roman" w:hAnsi="Times New Roman" w:cs="Times New Roman"/>
          <w:bCs/>
          <w:szCs w:val="21"/>
        </w:rPr>
        <w:t>kPa</w:t>
      </w:r>
      <w:r>
        <w:rPr>
          <w:rFonts w:ascii="Times New Roman" w:hAnsi="Times New Roman" w:cs="Times New Roman"/>
          <w:bCs/>
          <w:szCs w:val="21"/>
        </w:rPr>
        <w:t>）</w:t>
      </w:r>
      <w:r>
        <w:rPr>
          <w:rFonts w:hint="eastAsia" w:ascii="Times New Roman" w:hAnsi="Times New Roman" w:cs="Times New Roman"/>
          <w:bCs/>
          <w:szCs w:val="21"/>
          <w:lang w:eastAsia="zh-CN"/>
        </w:rPr>
        <w:t>，</w:t>
      </w:r>
      <w:r>
        <w:rPr>
          <w:rFonts w:hint="eastAsia" w:ascii="Times New Roman" w:hAnsi="Times New Roman" w:cs="Times New Roman"/>
          <w:bCs/>
          <w:szCs w:val="21"/>
        </w:rPr>
        <w:t>黏土</w:t>
      </w:r>
      <w:r>
        <w:rPr>
          <w:rFonts w:ascii="Times New Roman" w:hAnsi="Times New Roman" w:cs="Times New Roman"/>
          <w:bCs/>
          <w:szCs w:val="21"/>
        </w:rPr>
        <w:t>岩等取天然湿度单轴抗压强度标准值（</w:t>
      </w:r>
      <w:r>
        <w:rPr>
          <w:rFonts w:hint="eastAsia" w:ascii="Times New Roman" w:hAnsi="Times New Roman" w:cs="Times New Roman"/>
          <w:bCs/>
          <w:szCs w:val="21"/>
        </w:rPr>
        <w:t>kPa</w:t>
      </w:r>
      <w:r>
        <w:rPr>
          <w:rFonts w:ascii="Times New Roman" w:hAnsi="Times New Roman" w:cs="Times New Roman"/>
          <w:bCs/>
          <w:szCs w:val="21"/>
        </w:rPr>
        <w:t>）</w:t>
      </w:r>
      <w:r>
        <w:rPr>
          <w:rFonts w:hint="eastAsia" w:ascii="Times New Roman" w:hAnsi="Times New Roman" w:cs="Times New Roman"/>
          <w:bCs/>
          <w:szCs w:val="21"/>
          <w:lang w:eastAsia="zh-CN"/>
        </w:rPr>
        <w:t>；</w:t>
      </w:r>
    </w:p>
    <w:p w14:paraId="2E85C89D">
      <w:pPr>
        <w:keepNext w:val="0"/>
        <w:keepLines w:val="0"/>
        <w:pageBreakBefore w:val="0"/>
        <w:widowControl w:val="0"/>
        <w:kinsoku/>
        <w:wordWrap/>
        <w:overflowPunct/>
        <w:topLinePunct w:val="0"/>
        <w:autoSpaceDE/>
        <w:autoSpaceDN/>
        <w:bidi w:val="0"/>
        <w:adjustRightInd/>
        <w:snapToGrid/>
        <w:spacing w:line="320" w:lineRule="exact"/>
        <w:ind w:left="1134" w:hanging="1134" w:hangingChars="540"/>
        <w:textAlignment w:val="auto"/>
        <w:rPr>
          <w:rFonts w:ascii="Times New Roman" w:hAnsi="Times New Roman" w:cs="Times New Roman"/>
        </w:rPr>
      </w:pPr>
      <w:r>
        <w:rPr>
          <w:rFonts w:ascii="Times New Roman" w:hAnsi="Times New Roman" w:cs="Times New Roman"/>
          <w:bCs/>
          <w:szCs w:val="21"/>
        </w:rPr>
        <w:t xml:space="preserve">    </w:t>
      </w:r>
      <w:r>
        <w:rPr>
          <w:rFonts w:ascii="Times New Roman" w:hAnsi="Times New Roman" w:eastAsiaTheme="minorEastAsia"/>
          <w:position w:val="-10"/>
          <w:szCs w:val="21"/>
          <w:highlight w:val="none"/>
        </w:rPr>
        <w:object>
          <v:shape id="_x0000_i1114" o:spt="75" type="#_x0000_t75" style="height:16.5pt;width:13.3pt;" o:ole="t" filled="f" o:preferrelative="t" stroked="f" coordsize="21600,21600">
            <v:path/>
            <v:fill on="f" focussize="0,0"/>
            <v:stroke on="f"/>
            <v:imagedata r:id="rId184" o:title=""/>
            <o:lock v:ext="edit" aspectratio="t"/>
            <w10:wrap type="none"/>
            <w10:anchorlock/>
          </v:shape>
          <o:OLEObject Type="Embed" ProgID="Equation.3" ShapeID="_x0000_i1114" DrawAspect="Content" ObjectID="_1468075814" r:id="rId183">
            <o:LockedField>false</o:LockedField>
          </o:OLEObject>
        </w:object>
      </w:r>
      <w:r>
        <w:rPr>
          <w:rFonts w:ascii="Times New Roman" w:hAnsi="Times New Roman" w:cs="Times New Roman"/>
          <w:szCs w:val="21"/>
        </w:rPr>
        <w:t>——</w:t>
      </w:r>
      <w:r>
        <w:rPr>
          <w:rFonts w:ascii="Times New Roman" w:hAnsi="Times New Roman" w:cs="Times New Roman"/>
          <w:bCs/>
          <w:szCs w:val="21"/>
        </w:rPr>
        <w:t>嵌岩端侧阻和端阻综合系数，与嵌岩深径比、岩石</w:t>
      </w:r>
      <w:r>
        <w:rPr>
          <w:rFonts w:hint="eastAsia"/>
          <w:bCs/>
          <w:position w:val="0"/>
          <w:szCs w:val="18"/>
          <w:highlight w:val="none"/>
          <w:lang w:val="en-US" w:eastAsia="zh-CN"/>
        </w:rPr>
        <w:t>软硬程度和成桩工艺有关，可按表</w:t>
      </w:r>
      <w:r>
        <w:rPr>
          <w:rFonts w:hint="default" w:ascii="Times New Roman" w:hAnsi="Times New Roman" w:cs="Times New Roman"/>
          <w:bCs/>
          <w:szCs w:val="18"/>
          <w:highlight w:val="none"/>
          <w:lang w:val="en-US" w:eastAsia="zh-CN"/>
        </w:rPr>
        <w:t>4.3.8-</w:t>
      </w:r>
      <w:r>
        <w:rPr>
          <w:rFonts w:hint="eastAsia" w:ascii="Times New Roman" w:hAnsi="Times New Roman" w:cs="Times New Roman"/>
          <w:bCs/>
          <w:szCs w:val="18"/>
          <w:highlight w:val="none"/>
          <w:lang w:val="en-US" w:eastAsia="zh-CN"/>
        </w:rPr>
        <w:t>3</w:t>
      </w:r>
      <w:r>
        <w:rPr>
          <w:rFonts w:hint="eastAsia"/>
          <w:bCs/>
          <w:position w:val="0"/>
          <w:szCs w:val="18"/>
          <w:highlight w:val="none"/>
          <w:lang w:val="en-US" w:eastAsia="zh-CN"/>
        </w:rPr>
        <w:t>采用。</w:t>
      </w:r>
    </w:p>
    <w:p w14:paraId="323A2FEE">
      <w:pPr>
        <w:spacing w:line="360" w:lineRule="auto"/>
        <w:jc w:val="center"/>
        <w:rPr>
          <w:rFonts w:ascii="Times New Roman" w:hAnsi="Times New Roman" w:eastAsia="黑体"/>
          <w:b/>
          <w:sz w:val="18"/>
          <w:szCs w:val="18"/>
          <w:highlight w:val="none"/>
        </w:rPr>
      </w:pPr>
      <w:r>
        <w:rPr>
          <w:rFonts w:hint="eastAsia" w:ascii="Times New Roman" w:hAnsi="Times New Roman" w:eastAsia="黑体"/>
          <w:b/>
          <w:sz w:val="18"/>
          <w:szCs w:val="18"/>
          <w:highlight w:val="none"/>
        </w:rPr>
        <w:t>表4.</w:t>
      </w:r>
      <w:r>
        <w:rPr>
          <w:rFonts w:hint="eastAsia" w:ascii="Times New Roman" w:hAnsi="Times New Roman" w:eastAsia="黑体"/>
          <w:b/>
          <w:sz w:val="18"/>
          <w:szCs w:val="18"/>
          <w:highlight w:val="none"/>
          <w:lang w:val="en-US" w:eastAsia="zh-CN"/>
        </w:rPr>
        <w:t>3</w:t>
      </w:r>
      <w:r>
        <w:rPr>
          <w:rFonts w:hint="eastAsia" w:ascii="Times New Roman" w:hAnsi="Times New Roman" w:eastAsia="黑体"/>
          <w:b/>
          <w:sz w:val="18"/>
          <w:szCs w:val="18"/>
          <w:highlight w:val="none"/>
        </w:rPr>
        <w:t>.</w:t>
      </w:r>
      <w:r>
        <w:rPr>
          <w:rFonts w:hint="eastAsia" w:ascii="Times New Roman" w:hAnsi="Times New Roman" w:eastAsia="黑体"/>
          <w:b/>
          <w:sz w:val="18"/>
          <w:szCs w:val="18"/>
          <w:highlight w:val="none"/>
          <w:lang w:val="en-US" w:eastAsia="zh-CN"/>
        </w:rPr>
        <w:t>8-3</w:t>
      </w:r>
      <w:r>
        <w:rPr>
          <w:rFonts w:ascii="Times New Roman" w:hAnsi="Times New Roman" w:eastAsia="黑体"/>
          <w:b/>
          <w:sz w:val="18"/>
          <w:szCs w:val="18"/>
          <w:highlight w:val="none"/>
        </w:rPr>
        <w:t xml:space="preserve">  </w:t>
      </w:r>
      <w:r>
        <w:rPr>
          <w:rFonts w:hint="eastAsia" w:ascii="Times New Roman" w:hAnsi="Times New Roman" w:eastAsia="黑体"/>
          <w:b/>
          <w:sz w:val="18"/>
          <w:szCs w:val="18"/>
          <w:highlight w:val="none"/>
        </w:rPr>
        <w:t>嵌</w:t>
      </w:r>
      <w:r>
        <w:rPr>
          <w:rFonts w:ascii="Times New Roman" w:hAnsi="Times New Roman" w:eastAsia="黑体"/>
          <w:b/>
          <w:sz w:val="18"/>
          <w:szCs w:val="18"/>
          <w:highlight w:val="none"/>
        </w:rPr>
        <w:t>岩段侧阻和端阻综合系数</w:t>
      </w:r>
    </w:p>
    <w:tbl>
      <w:tblPr>
        <w:tblStyle w:val="4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570"/>
        <w:gridCol w:w="585"/>
        <w:gridCol w:w="623"/>
        <w:gridCol w:w="585"/>
        <w:gridCol w:w="600"/>
        <w:gridCol w:w="570"/>
        <w:gridCol w:w="562"/>
        <w:gridCol w:w="517"/>
      </w:tblGrid>
      <w:tr w14:paraId="15C346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tcBorders>
              <w:tl2br w:val="nil"/>
              <w:tr2bl w:val="nil"/>
            </w:tcBorders>
          </w:tcPr>
          <w:p w14:paraId="51B9D6E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嵌岩深径比</w:t>
            </w:r>
            <m:oMath>
              <m:sSub>
                <m:sSubPr>
                  <m:ctrlPr>
                    <w:rPr>
                      <w:rFonts w:hint="default" w:ascii="Cambria Math" w:hAnsi="Cambria Math" w:cs="Times New Roman"/>
                      <w:sz w:val="15"/>
                      <w:szCs w:val="15"/>
                      <w:highlight w:val="none"/>
                    </w:rPr>
                  </m:ctrlPr>
                </m:sSubPr>
                <m:e>
                  <m:r>
                    <m:rPr>
                      <m:sty m:val="p"/>
                    </m:rPr>
                    <w:rPr>
                      <w:rFonts w:hint="default" w:ascii="Cambria Math" w:hAnsi="Cambria Math" w:cs="Times New Roman"/>
                      <w:sz w:val="15"/>
                      <w:szCs w:val="15"/>
                      <w:highlight w:val="none"/>
                    </w:rPr>
                    <m:t>ℎ</m:t>
                  </m:r>
                  <m:ctrlPr>
                    <w:rPr>
                      <w:rFonts w:hint="default" w:ascii="Cambria Math" w:hAnsi="Cambria Math" w:cs="Times New Roman"/>
                      <w:sz w:val="15"/>
                      <w:szCs w:val="15"/>
                      <w:highlight w:val="none"/>
                    </w:rPr>
                  </m:ctrlPr>
                </m:e>
                <m:sub>
                  <m:r>
                    <m:rPr>
                      <m:sty m:val="p"/>
                    </m:rPr>
                    <w:rPr>
                      <w:rFonts w:hint="default" w:ascii="Cambria Math" w:hAnsi="Cambria Math" w:cs="Times New Roman"/>
                      <w:sz w:val="15"/>
                      <w:szCs w:val="15"/>
                      <w:highlight w:val="none"/>
                    </w:rPr>
                    <m:t>r</m:t>
                  </m:r>
                  <m:ctrlPr>
                    <w:rPr>
                      <w:rFonts w:hint="default" w:ascii="Cambria Math" w:hAnsi="Cambria Math" w:cs="Times New Roman"/>
                      <w:sz w:val="15"/>
                      <w:szCs w:val="15"/>
                      <w:highlight w:val="none"/>
                    </w:rPr>
                  </m:ctrlPr>
                </m:sub>
              </m:sSub>
              <m:r>
                <m:rPr>
                  <m:sty m:val="p"/>
                </m:rPr>
                <w:rPr>
                  <w:rFonts w:hint="default" w:ascii="Cambria Math" w:hAnsi="Cambria Math" w:cs="Times New Roman"/>
                  <w:sz w:val="15"/>
                  <w:szCs w:val="15"/>
                  <w:highlight w:val="none"/>
                </w:rPr>
                <m:t>/d</m:t>
              </m:r>
            </m:oMath>
          </w:p>
        </w:tc>
        <w:tc>
          <w:tcPr>
            <w:tcW w:w="570" w:type="dxa"/>
            <w:tcBorders>
              <w:tl2br w:val="nil"/>
              <w:tr2bl w:val="nil"/>
            </w:tcBorders>
            <w:vAlign w:val="center"/>
          </w:tcPr>
          <w:p w14:paraId="34928F9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w:t>
            </w:r>
          </w:p>
        </w:tc>
        <w:tc>
          <w:tcPr>
            <w:tcW w:w="585" w:type="dxa"/>
            <w:tcBorders>
              <w:tl2br w:val="nil"/>
              <w:tr2bl w:val="nil"/>
            </w:tcBorders>
            <w:vAlign w:val="center"/>
          </w:tcPr>
          <w:p w14:paraId="3BF9782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0.5</w:t>
            </w:r>
          </w:p>
        </w:tc>
        <w:tc>
          <w:tcPr>
            <w:tcW w:w="623" w:type="dxa"/>
            <w:tcBorders>
              <w:tl2br w:val="nil"/>
              <w:tr2bl w:val="nil"/>
            </w:tcBorders>
            <w:vAlign w:val="center"/>
          </w:tcPr>
          <w:p w14:paraId="54C404B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1.0</w:t>
            </w:r>
          </w:p>
        </w:tc>
        <w:tc>
          <w:tcPr>
            <w:tcW w:w="585" w:type="dxa"/>
            <w:tcBorders>
              <w:tl2br w:val="nil"/>
              <w:tr2bl w:val="nil"/>
            </w:tcBorders>
            <w:vAlign w:val="center"/>
          </w:tcPr>
          <w:p w14:paraId="331C058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1.5</w:t>
            </w:r>
          </w:p>
        </w:tc>
        <w:tc>
          <w:tcPr>
            <w:tcW w:w="600" w:type="dxa"/>
            <w:tcBorders>
              <w:tl2br w:val="nil"/>
              <w:tr2bl w:val="nil"/>
            </w:tcBorders>
            <w:vAlign w:val="center"/>
          </w:tcPr>
          <w:p w14:paraId="1A069B0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2.0</w:t>
            </w:r>
          </w:p>
        </w:tc>
        <w:tc>
          <w:tcPr>
            <w:tcW w:w="570" w:type="dxa"/>
            <w:tcBorders>
              <w:tl2br w:val="nil"/>
              <w:tr2bl w:val="nil"/>
            </w:tcBorders>
            <w:vAlign w:val="center"/>
          </w:tcPr>
          <w:p w14:paraId="5A42F13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3.0</w:t>
            </w:r>
          </w:p>
        </w:tc>
        <w:tc>
          <w:tcPr>
            <w:tcW w:w="562" w:type="dxa"/>
            <w:tcBorders>
              <w:tl2br w:val="nil"/>
              <w:tr2bl w:val="nil"/>
            </w:tcBorders>
            <w:vAlign w:val="center"/>
          </w:tcPr>
          <w:p w14:paraId="332915A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4.0</w:t>
            </w:r>
          </w:p>
        </w:tc>
        <w:tc>
          <w:tcPr>
            <w:tcW w:w="517" w:type="dxa"/>
            <w:tcBorders>
              <w:tl2br w:val="nil"/>
              <w:tr2bl w:val="nil"/>
            </w:tcBorders>
            <w:vAlign w:val="center"/>
          </w:tcPr>
          <w:p w14:paraId="2AF63EE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5.0</w:t>
            </w:r>
          </w:p>
        </w:tc>
      </w:tr>
      <w:tr w14:paraId="1660F3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tcBorders>
              <w:tl2br w:val="nil"/>
              <w:tr2bl w:val="nil"/>
            </w:tcBorders>
          </w:tcPr>
          <w:p w14:paraId="293B997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极软岩、软岩</w:t>
            </w:r>
          </w:p>
        </w:tc>
        <w:tc>
          <w:tcPr>
            <w:tcW w:w="570" w:type="dxa"/>
            <w:tcBorders>
              <w:tl2br w:val="nil"/>
              <w:tr2bl w:val="nil"/>
            </w:tcBorders>
            <w:vAlign w:val="center"/>
          </w:tcPr>
          <w:p w14:paraId="53C8B10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0.7</w:t>
            </w:r>
          </w:p>
        </w:tc>
        <w:tc>
          <w:tcPr>
            <w:tcW w:w="585" w:type="dxa"/>
            <w:tcBorders>
              <w:tl2br w:val="nil"/>
              <w:tr2bl w:val="nil"/>
            </w:tcBorders>
            <w:vAlign w:val="center"/>
          </w:tcPr>
          <w:p w14:paraId="557933D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0.96</w:t>
            </w:r>
          </w:p>
        </w:tc>
        <w:tc>
          <w:tcPr>
            <w:tcW w:w="623" w:type="dxa"/>
            <w:tcBorders>
              <w:tl2br w:val="nil"/>
              <w:tr2bl w:val="nil"/>
            </w:tcBorders>
            <w:vAlign w:val="center"/>
          </w:tcPr>
          <w:p w14:paraId="0485559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1.15</w:t>
            </w:r>
          </w:p>
        </w:tc>
        <w:tc>
          <w:tcPr>
            <w:tcW w:w="585" w:type="dxa"/>
            <w:tcBorders>
              <w:tl2br w:val="nil"/>
              <w:tr2bl w:val="nil"/>
            </w:tcBorders>
            <w:vAlign w:val="center"/>
          </w:tcPr>
          <w:p w14:paraId="667F451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1.28</w:t>
            </w:r>
          </w:p>
        </w:tc>
        <w:tc>
          <w:tcPr>
            <w:tcW w:w="600" w:type="dxa"/>
            <w:tcBorders>
              <w:tl2br w:val="nil"/>
              <w:tr2bl w:val="nil"/>
            </w:tcBorders>
            <w:vAlign w:val="center"/>
          </w:tcPr>
          <w:p w14:paraId="7655298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1.42</w:t>
            </w:r>
          </w:p>
        </w:tc>
        <w:tc>
          <w:tcPr>
            <w:tcW w:w="570" w:type="dxa"/>
            <w:tcBorders>
              <w:tl2br w:val="nil"/>
              <w:tr2bl w:val="nil"/>
            </w:tcBorders>
            <w:vAlign w:val="center"/>
          </w:tcPr>
          <w:p w14:paraId="1B96539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1.62</w:t>
            </w:r>
          </w:p>
        </w:tc>
        <w:tc>
          <w:tcPr>
            <w:tcW w:w="562" w:type="dxa"/>
            <w:tcBorders>
              <w:tl2br w:val="nil"/>
              <w:tr2bl w:val="nil"/>
            </w:tcBorders>
            <w:vAlign w:val="center"/>
          </w:tcPr>
          <w:p w14:paraId="673E6D9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1.77</w:t>
            </w:r>
          </w:p>
        </w:tc>
        <w:tc>
          <w:tcPr>
            <w:tcW w:w="517" w:type="dxa"/>
            <w:tcBorders>
              <w:tl2br w:val="nil"/>
              <w:tr2bl w:val="nil"/>
            </w:tcBorders>
            <w:vAlign w:val="center"/>
          </w:tcPr>
          <w:p w14:paraId="235C3CA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1.88</w:t>
            </w:r>
          </w:p>
        </w:tc>
      </w:tr>
      <w:tr w14:paraId="004235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tcBorders>
              <w:tl2br w:val="nil"/>
              <w:tr2bl w:val="nil"/>
            </w:tcBorders>
          </w:tcPr>
          <w:p w14:paraId="218D73AB">
            <w:pPr>
              <w:spacing w:line="240" w:lineRule="exact"/>
              <w:jc w:val="center"/>
              <w:rPr>
                <w:rFonts w:hint="default" w:ascii="Times New Roman" w:hAnsi="Times New Roman" w:cs="Times New Roman"/>
                <w:sz w:val="15"/>
                <w:szCs w:val="15"/>
                <w:highlight w:val="none"/>
              </w:rPr>
            </w:pPr>
            <w:r>
              <w:rPr>
                <w:rFonts w:hint="eastAsia" w:ascii="Times New Roman" w:hAnsi="Times New Roman" w:cs="Times New Roman"/>
                <w:sz w:val="15"/>
                <w:szCs w:val="15"/>
                <w:highlight w:val="none"/>
              </w:rPr>
              <w:t>较软</w:t>
            </w:r>
            <w:r>
              <w:rPr>
                <w:rFonts w:hint="default" w:ascii="Times New Roman" w:hAnsi="Times New Roman" w:cs="Times New Roman"/>
                <w:sz w:val="15"/>
                <w:szCs w:val="15"/>
                <w:highlight w:val="none"/>
              </w:rPr>
              <w:t>岩</w:t>
            </w:r>
          </w:p>
        </w:tc>
        <w:tc>
          <w:tcPr>
            <w:tcW w:w="570" w:type="dxa"/>
            <w:tcBorders>
              <w:tl2br w:val="nil"/>
              <w:tr2bl w:val="nil"/>
            </w:tcBorders>
            <w:vAlign w:val="center"/>
          </w:tcPr>
          <w:p w14:paraId="5DF332F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0.6</w:t>
            </w:r>
          </w:p>
        </w:tc>
        <w:tc>
          <w:tcPr>
            <w:tcW w:w="585" w:type="dxa"/>
            <w:tcBorders>
              <w:tl2br w:val="nil"/>
              <w:tr2bl w:val="nil"/>
            </w:tcBorders>
            <w:vAlign w:val="center"/>
          </w:tcPr>
          <w:p w14:paraId="2993D148">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0.9</w:t>
            </w:r>
          </w:p>
        </w:tc>
        <w:tc>
          <w:tcPr>
            <w:tcW w:w="623" w:type="dxa"/>
            <w:tcBorders>
              <w:tl2br w:val="nil"/>
              <w:tr2bl w:val="nil"/>
            </w:tcBorders>
            <w:vAlign w:val="center"/>
          </w:tcPr>
          <w:p w14:paraId="35FF9B0A">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1.05</w:t>
            </w:r>
          </w:p>
        </w:tc>
        <w:tc>
          <w:tcPr>
            <w:tcW w:w="585" w:type="dxa"/>
            <w:tcBorders>
              <w:tl2br w:val="nil"/>
              <w:tr2bl w:val="nil"/>
            </w:tcBorders>
            <w:vAlign w:val="center"/>
          </w:tcPr>
          <w:p w14:paraId="69A8A95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1.15</w:t>
            </w:r>
          </w:p>
        </w:tc>
        <w:tc>
          <w:tcPr>
            <w:tcW w:w="600" w:type="dxa"/>
            <w:tcBorders>
              <w:tl2br w:val="nil"/>
              <w:tr2bl w:val="nil"/>
            </w:tcBorders>
            <w:vAlign w:val="center"/>
          </w:tcPr>
          <w:p w14:paraId="1FA2B382">
            <w:pPr>
              <w:spacing w:line="240" w:lineRule="exact"/>
              <w:jc w:val="center"/>
              <w:rPr>
                <w:rFonts w:hint="default" w:ascii="Times New Roman" w:hAnsi="Times New Roman" w:cs="Times New Roman"/>
                <w:sz w:val="15"/>
                <w:szCs w:val="15"/>
                <w:highlight w:val="none"/>
              </w:rPr>
            </w:pPr>
          </w:p>
        </w:tc>
        <w:tc>
          <w:tcPr>
            <w:tcW w:w="570" w:type="dxa"/>
            <w:tcBorders>
              <w:tl2br w:val="nil"/>
              <w:tr2bl w:val="nil"/>
            </w:tcBorders>
            <w:vAlign w:val="center"/>
          </w:tcPr>
          <w:p w14:paraId="3C39BED5">
            <w:pPr>
              <w:spacing w:line="240" w:lineRule="exact"/>
              <w:jc w:val="center"/>
              <w:rPr>
                <w:rFonts w:hint="default" w:ascii="Times New Roman" w:hAnsi="Times New Roman" w:cs="Times New Roman"/>
                <w:sz w:val="15"/>
                <w:szCs w:val="15"/>
                <w:highlight w:val="none"/>
              </w:rPr>
            </w:pPr>
          </w:p>
        </w:tc>
        <w:tc>
          <w:tcPr>
            <w:tcW w:w="562" w:type="dxa"/>
            <w:tcBorders>
              <w:tl2br w:val="nil"/>
              <w:tr2bl w:val="nil"/>
            </w:tcBorders>
            <w:vAlign w:val="center"/>
          </w:tcPr>
          <w:p w14:paraId="754342CE">
            <w:pPr>
              <w:spacing w:line="240" w:lineRule="exact"/>
              <w:jc w:val="center"/>
              <w:rPr>
                <w:rFonts w:hint="default" w:ascii="Times New Roman" w:hAnsi="Times New Roman" w:cs="Times New Roman"/>
                <w:sz w:val="15"/>
                <w:szCs w:val="15"/>
                <w:highlight w:val="none"/>
              </w:rPr>
            </w:pPr>
          </w:p>
        </w:tc>
        <w:tc>
          <w:tcPr>
            <w:tcW w:w="517" w:type="dxa"/>
            <w:tcBorders>
              <w:tl2br w:val="nil"/>
              <w:tr2bl w:val="nil"/>
            </w:tcBorders>
            <w:vAlign w:val="center"/>
          </w:tcPr>
          <w:p w14:paraId="728BA399">
            <w:pPr>
              <w:spacing w:line="240" w:lineRule="exact"/>
              <w:jc w:val="center"/>
              <w:rPr>
                <w:rFonts w:hint="default" w:ascii="Times New Roman" w:hAnsi="Times New Roman" w:cs="Times New Roman"/>
                <w:sz w:val="15"/>
                <w:szCs w:val="15"/>
                <w:highlight w:val="none"/>
              </w:rPr>
            </w:pPr>
          </w:p>
        </w:tc>
      </w:tr>
      <w:tr w14:paraId="318740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tcBorders>
              <w:tl2br w:val="nil"/>
              <w:tr2bl w:val="nil"/>
            </w:tcBorders>
          </w:tcPr>
          <w:p w14:paraId="47C59814">
            <w:pPr>
              <w:spacing w:line="240" w:lineRule="exact"/>
              <w:jc w:val="center"/>
              <w:rPr>
                <w:rFonts w:hint="default" w:ascii="Times New Roman" w:hAnsi="Times New Roman" w:cs="Times New Roman"/>
                <w:sz w:val="15"/>
                <w:szCs w:val="15"/>
                <w:highlight w:val="none"/>
              </w:rPr>
            </w:pPr>
            <w:r>
              <w:rPr>
                <w:rFonts w:hint="eastAsia" w:ascii="Times New Roman" w:hAnsi="Times New Roman" w:cs="Times New Roman"/>
                <w:sz w:val="15"/>
                <w:szCs w:val="15"/>
                <w:highlight w:val="none"/>
              </w:rPr>
              <w:t>硬质</w:t>
            </w:r>
            <w:r>
              <w:rPr>
                <w:rFonts w:hint="default" w:ascii="Times New Roman" w:hAnsi="Times New Roman" w:cs="Times New Roman"/>
                <w:sz w:val="15"/>
                <w:szCs w:val="15"/>
                <w:highlight w:val="none"/>
              </w:rPr>
              <w:t>岩</w:t>
            </w:r>
          </w:p>
        </w:tc>
        <w:tc>
          <w:tcPr>
            <w:tcW w:w="570" w:type="dxa"/>
            <w:tcBorders>
              <w:tl2br w:val="nil"/>
              <w:tr2bl w:val="nil"/>
            </w:tcBorders>
            <w:vAlign w:val="center"/>
          </w:tcPr>
          <w:p w14:paraId="2EEE240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0.5</w:t>
            </w:r>
          </w:p>
        </w:tc>
        <w:tc>
          <w:tcPr>
            <w:tcW w:w="585" w:type="dxa"/>
            <w:tcBorders>
              <w:tl2br w:val="nil"/>
              <w:tr2bl w:val="nil"/>
            </w:tcBorders>
            <w:vAlign w:val="center"/>
          </w:tcPr>
          <w:p w14:paraId="555EBE5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0.8</w:t>
            </w:r>
          </w:p>
        </w:tc>
        <w:tc>
          <w:tcPr>
            <w:tcW w:w="623" w:type="dxa"/>
            <w:tcBorders>
              <w:tl2br w:val="nil"/>
              <w:tr2bl w:val="nil"/>
            </w:tcBorders>
            <w:vAlign w:val="center"/>
          </w:tcPr>
          <w:p w14:paraId="68CE194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0.96</w:t>
            </w:r>
          </w:p>
        </w:tc>
        <w:tc>
          <w:tcPr>
            <w:tcW w:w="585" w:type="dxa"/>
            <w:tcBorders>
              <w:tl2br w:val="nil"/>
              <w:tr2bl w:val="nil"/>
            </w:tcBorders>
            <w:vAlign w:val="center"/>
          </w:tcPr>
          <w:p w14:paraId="15FBF984">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1.02</w:t>
            </w:r>
          </w:p>
        </w:tc>
        <w:tc>
          <w:tcPr>
            <w:tcW w:w="600" w:type="dxa"/>
            <w:tcBorders>
              <w:tl2br w:val="nil"/>
              <w:tr2bl w:val="nil"/>
            </w:tcBorders>
            <w:vAlign w:val="center"/>
          </w:tcPr>
          <w:p w14:paraId="316FF0A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1.08</w:t>
            </w:r>
          </w:p>
        </w:tc>
        <w:tc>
          <w:tcPr>
            <w:tcW w:w="570" w:type="dxa"/>
            <w:tcBorders>
              <w:tl2br w:val="nil"/>
              <w:tr2bl w:val="nil"/>
            </w:tcBorders>
            <w:vAlign w:val="center"/>
          </w:tcPr>
          <w:p w14:paraId="754E7D1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1.20</w:t>
            </w:r>
          </w:p>
        </w:tc>
        <w:tc>
          <w:tcPr>
            <w:tcW w:w="562" w:type="dxa"/>
            <w:tcBorders>
              <w:tl2br w:val="nil"/>
              <w:tr2bl w:val="nil"/>
            </w:tcBorders>
            <w:vAlign w:val="center"/>
          </w:tcPr>
          <w:p w14:paraId="253AE9F8">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c>
          <w:tcPr>
            <w:tcW w:w="517" w:type="dxa"/>
            <w:tcBorders>
              <w:tl2br w:val="nil"/>
              <w:tr2bl w:val="nil"/>
            </w:tcBorders>
            <w:vAlign w:val="center"/>
          </w:tcPr>
          <w:p w14:paraId="21FD94E8">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w:t>
            </w:r>
          </w:p>
        </w:tc>
      </w:tr>
    </w:tbl>
    <w:p w14:paraId="258078F9">
      <w:pPr>
        <w:ind w:left="720" w:hanging="600" w:hangingChars="400"/>
        <w:rPr>
          <w:rFonts w:hint="default" w:ascii="Times New Roman" w:hAnsi="Times New Roman" w:cs="Times New Roman"/>
          <w:bCs/>
          <w:sz w:val="15"/>
          <w:szCs w:val="15"/>
          <w:highlight w:val="none"/>
        </w:rPr>
      </w:pPr>
      <w:r>
        <w:rPr>
          <w:rFonts w:hint="eastAsia" w:ascii="Times New Roman" w:hAnsi="Times New Roman" w:cs="Times New Roman"/>
          <w:bCs/>
          <w:sz w:val="15"/>
          <w:szCs w:val="15"/>
          <w:highlight w:val="none"/>
        </w:rPr>
        <w:t>注：1 极</w:t>
      </w:r>
      <w:r>
        <w:rPr>
          <w:rFonts w:hint="default" w:ascii="Times New Roman" w:hAnsi="Times New Roman" w:cs="Times New Roman"/>
          <w:bCs/>
          <w:sz w:val="15"/>
          <w:szCs w:val="15"/>
          <w:highlight w:val="none"/>
        </w:rPr>
        <w:t>软岩、软岩</w:t>
      </w:r>
      <w:r>
        <w:rPr>
          <w:rFonts w:hint="eastAsia" w:ascii="Times New Roman" w:hAnsi="Times New Roman" w:cs="Times New Roman"/>
          <w:bCs/>
          <w:sz w:val="15"/>
          <w:szCs w:val="15"/>
          <w:highlight w:val="none"/>
        </w:rPr>
        <w:t>是</w:t>
      </w:r>
      <w:r>
        <w:rPr>
          <w:rFonts w:hint="default" w:ascii="Times New Roman" w:hAnsi="Times New Roman" w:cs="Times New Roman"/>
          <w:bCs/>
          <w:sz w:val="15"/>
          <w:szCs w:val="15"/>
          <w:highlight w:val="none"/>
        </w:rPr>
        <w:t>指</w:t>
      </w:r>
      <m:oMath>
        <m:sSub>
          <m:sSubPr>
            <m:ctrlPr>
              <w:rPr>
                <w:rFonts w:hint="default" w:ascii="Cambria Math" w:hAnsi="Cambria Math" w:cs="Times New Roman"/>
                <w:bCs/>
                <w:sz w:val="15"/>
                <w:szCs w:val="15"/>
                <w:highlight w:val="none"/>
              </w:rPr>
            </m:ctrlPr>
          </m:sSubPr>
          <m:e>
            <m:r>
              <m:rPr>
                <m:sty m:val="p"/>
              </m:rPr>
              <w:rPr>
                <w:rFonts w:hint="default" w:ascii="Cambria Math" w:hAnsi="Cambria Math" w:cs="Times New Roman"/>
                <w:sz w:val="15"/>
                <w:szCs w:val="15"/>
                <w:highlight w:val="none"/>
              </w:rPr>
              <m:t>f</m:t>
            </m:r>
            <m:ctrlPr>
              <w:rPr>
                <w:rFonts w:hint="default" w:ascii="Cambria Math" w:hAnsi="Cambria Math" w:cs="Times New Roman"/>
                <w:bCs/>
                <w:sz w:val="15"/>
                <w:szCs w:val="15"/>
                <w:highlight w:val="none"/>
              </w:rPr>
            </m:ctrlPr>
          </m:e>
          <m:sub>
            <m:r>
              <m:rPr>
                <m:sty m:val="p"/>
              </m:rPr>
              <w:rPr>
                <w:rFonts w:hint="default" w:ascii="Cambria Math" w:hAnsi="Cambria Math" w:cs="Times New Roman"/>
                <w:sz w:val="15"/>
                <w:szCs w:val="15"/>
                <w:highlight w:val="none"/>
              </w:rPr>
              <m:t>rk</m:t>
            </m:r>
            <m:ctrlPr>
              <w:rPr>
                <w:rFonts w:hint="default" w:ascii="Cambria Math" w:hAnsi="Cambria Math" w:cs="Times New Roman"/>
                <w:bCs/>
                <w:sz w:val="15"/>
                <w:szCs w:val="15"/>
                <w:highlight w:val="none"/>
              </w:rPr>
            </m:ctrlPr>
          </m:sub>
        </m:sSub>
      </m:oMath>
      <w:r>
        <w:rPr>
          <w:rFonts w:hint="eastAsia" w:ascii="Times New Roman" w:hAnsi="Times New Roman" w:cs="Times New Roman"/>
          <w:bCs/>
          <w:sz w:val="15"/>
          <w:szCs w:val="15"/>
          <w:highlight w:val="none"/>
        </w:rPr>
        <w:t>≤15MP</w:t>
      </w:r>
      <w:r>
        <w:rPr>
          <w:rFonts w:hint="default" w:ascii="Times New Roman" w:hAnsi="Times New Roman" w:cs="Times New Roman"/>
          <w:bCs/>
          <w:sz w:val="15"/>
          <w:szCs w:val="15"/>
          <w:highlight w:val="none"/>
        </w:rPr>
        <w:t>a</w:t>
      </w:r>
      <w:r>
        <w:rPr>
          <w:rFonts w:hint="eastAsia" w:ascii="Times New Roman" w:hAnsi="Times New Roman" w:cs="Times New Roman"/>
          <w:bCs/>
          <w:sz w:val="15"/>
          <w:szCs w:val="15"/>
          <w:highlight w:val="none"/>
        </w:rPr>
        <w:t>，较软岩是</w:t>
      </w:r>
      <w:r>
        <w:rPr>
          <w:rFonts w:hint="default" w:ascii="Times New Roman" w:hAnsi="Times New Roman" w:cs="Times New Roman"/>
          <w:bCs/>
          <w:sz w:val="15"/>
          <w:szCs w:val="15"/>
          <w:highlight w:val="none"/>
        </w:rPr>
        <w:t>指</w:t>
      </w:r>
      <w:r>
        <w:rPr>
          <w:rFonts w:hint="eastAsia" w:ascii="Times New Roman" w:hAnsi="Times New Roman" w:cs="Times New Roman"/>
          <w:bCs/>
          <w:sz w:val="15"/>
          <w:szCs w:val="15"/>
          <w:highlight w:val="none"/>
        </w:rPr>
        <w:t>15MPa</w:t>
      </w:r>
      <w:r>
        <w:rPr>
          <w:rFonts w:hint="eastAsia" w:ascii="Times New Roman" w:hAnsi="Times New Roman" w:cs="Times New Roman"/>
          <w:bCs/>
          <w:sz w:val="15"/>
          <w:szCs w:val="15"/>
          <w:highlight w:val="none"/>
          <w:lang w:val="en-US" w:eastAsia="zh-CN"/>
        </w:rPr>
        <w:t>＜</w:t>
      </w:r>
      <m:oMath>
        <m:sSub>
          <m:sSubPr>
            <m:ctrlPr>
              <w:rPr>
                <w:rFonts w:hint="default" w:ascii="Cambria Math" w:hAnsi="Cambria Math" w:cs="Times New Roman"/>
                <w:bCs/>
                <w:sz w:val="15"/>
                <w:szCs w:val="15"/>
                <w:highlight w:val="none"/>
              </w:rPr>
            </m:ctrlPr>
          </m:sSubPr>
          <m:e>
            <m:r>
              <m:rPr>
                <m:sty m:val="p"/>
              </m:rPr>
              <w:rPr>
                <w:rFonts w:hint="default" w:ascii="Cambria Math" w:hAnsi="Cambria Math" w:cs="Times New Roman"/>
                <w:sz w:val="15"/>
                <w:szCs w:val="15"/>
                <w:highlight w:val="none"/>
              </w:rPr>
              <m:t>f</m:t>
            </m:r>
            <m:ctrlPr>
              <w:rPr>
                <w:rFonts w:hint="default" w:ascii="Cambria Math" w:hAnsi="Cambria Math" w:cs="Times New Roman"/>
                <w:bCs/>
                <w:sz w:val="15"/>
                <w:szCs w:val="15"/>
                <w:highlight w:val="none"/>
              </w:rPr>
            </m:ctrlPr>
          </m:e>
          <m:sub>
            <m:r>
              <m:rPr>
                <m:sty m:val="p"/>
              </m:rPr>
              <w:rPr>
                <w:rFonts w:hint="default" w:ascii="Cambria Math" w:hAnsi="Cambria Math" w:cs="Times New Roman"/>
                <w:sz w:val="15"/>
                <w:szCs w:val="15"/>
                <w:highlight w:val="none"/>
              </w:rPr>
              <m:t>rk</m:t>
            </m:r>
            <m:ctrlPr>
              <w:rPr>
                <w:rFonts w:hint="default" w:ascii="Cambria Math" w:hAnsi="Cambria Math" w:cs="Times New Roman"/>
                <w:bCs/>
                <w:sz w:val="15"/>
                <w:szCs w:val="15"/>
                <w:highlight w:val="none"/>
              </w:rPr>
            </m:ctrlPr>
          </m:sub>
        </m:sSub>
      </m:oMath>
      <w:r>
        <w:rPr>
          <w:rFonts w:hint="eastAsia" w:ascii="Times New Roman" w:hAnsi="Times New Roman" w:cs="Times New Roman"/>
          <w:bCs/>
          <w:sz w:val="15"/>
          <w:szCs w:val="15"/>
          <w:highlight w:val="none"/>
        </w:rPr>
        <w:t>≤30MP</w:t>
      </w:r>
      <w:r>
        <w:rPr>
          <w:rFonts w:hint="default" w:ascii="Times New Roman" w:hAnsi="Times New Roman" w:cs="Times New Roman"/>
          <w:bCs/>
          <w:sz w:val="15"/>
          <w:szCs w:val="15"/>
          <w:highlight w:val="none"/>
        </w:rPr>
        <w:t>a</w:t>
      </w:r>
      <w:r>
        <w:rPr>
          <w:rFonts w:hint="eastAsia" w:ascii="Times New Roman" w:hAnsi="Times New Roman" w:cs="Times New Roman"/>
          <w:bCs/>
          <w:sz w:val="15"/>
          <w:szCs w:val="15"/>
          <w:highlight w:val="none"/>
        </w:rPr>
        <w:t>，硬质</w:t>
      </w:r>
      <w:r>
        <w:rPr>
          <w:rFonts w:hint="default" w:ascii="Times New Roman" w:hAnsi="Times New Roman" w:cs="Times New Roman"/>
          <w:bCs/>
          <w:sz w:val="15"/>
          <w:szCs w:val="15"/>
          <w:highlight w:val="none"/>
        </w:rPr>
        <w:t>岩</w:t>
      </w:r>
      <w:r>
        <w:rPr>
          <w:rFonts w:hint="eastAsia" w:ascii="Times New Roman" w:hAnsi="Times New Roman" w:cs="Times New Roman"/>
          <w:bCs/>
          <w:sz w:val="15"/>
          <w:szCs w:val="15"/>
          <w:highlight w:val="none"/>
        </w:rPr>
        <w:t>是</w:t>
      </w:r>
      <w:r>
        <w:rPr>
          <w:rFonts w:hint="default" w:ascii="Times New Roman" w:hAnsi="Times New Roman" w:cs="Times New Roman"/>
          <w:bCs/>
          <w:sz w:val="15"/>
          <w:szCs w:val="15"/>
          <w:highlight w:val="none"/>
        </w:rPr>
        <w:t>指</w:t>
      </w:r>
      <m:oMath>
        <m:sSub>
          <m:sSubPr>
            <m:ctrlPr>
              <w:rPr>
                <w:rFonts w:hint="default" w:ascii="Cambria Math" w:hAnsi="Cambria Math" w:cs="Times New Roman"/>
                <w:bCs/>
                <w:sz w:val="15"/>
                <w:szCs w:val="15"/>
                <w:highlight w:val="none"/>
              </w:rPr>
            </m:ctrlPr>
          </m:sSubPr>
          <m:e>
            <m:r>
              <m:rPr>
                <m:sty m:val="p"/>
              </m:rPr>
              <w:rPr>
                <w:rFonts w:hint="default" w:ascii="Cambria Math" w:hAnsi="Cambria Math" w:cs="Times New Roman"/>
                <w:sz w:val="15"/>
                <w:szCs w:val="15"/>
                <w:highlight w:val="none"/>
              </w:rPr>
              <m:t>f</m:t>
            </m:r>
            <m:ctrlPr>
              <w:rPr>
                <w:rFonts w:hint="default" w:ascii="Cambria Math" w:hAnsi="Cambria Math" w:cs="Times New Roman"/>
                <w:bCs/>
                <w:sz w:val="15"/>
                <w:szCs w:val="15"/>
                <w:highlight w:val="none"/>
              </w:rPr>
            </m:ctrlPr>
          </m:e>
          <m:sub>
            <m:r>
              <m:rPr>
                <m:sty m:val="p"/>
              </m:rPr>
              <w:rPr>
                <w:rFonts w:hint="default" w:ascii="Cambria Math" w:hAnsi="Cambria Math" w:cs="Times New Roman"/>
                <w:sz w:val="15"/>
                <w:szCs w:val="15"/>
                <w:highlight w:val="none"/>
              </w:rPr>
              <m:t>rk</m:t>
            </m:r>
            <m:ctrlPr>
              <w:rPr>
                <w:rFonts w:hint="default" w:ascii="Cambria Math" w:hAnsi="Cambria Math" w:cs="Times New Roman"/>
                <w:bCs/>
                <w:sz w:val="15"/>
                <w:szCs w:val="15"/>
                <w:highlight w:val="none"/>
              </w:rPr>
            </m:ctrlPr>
          </m:sub>
        </m:sSub>
      </m:oMath>
      <w:r>
        <w:rPr>
          <w:rFonts w:hint="eastAsia" w:ascii="Times New Roman" w:hAnsi="Times New Roman" w:cs="Times New Roman"/>
          <w:bCs/>
          <w:sz w:val="15"/>
          <w:szCs w:val="15"/>
          <w:highlight w:val="none"/>
        </w:rPr>
        <w:t>&gt;</w:t>
      </w:r>
      <w:r>
        <w:rPr>
          <w:rFonts w:hint="default" w:ascii="Times New Roman" w:hAnsi="Times New Roman" w:cs="Times New Roman"/>
          <w:bCs/>
          <w:sz w:val="15"/>
          <w:szCs w:val="15"/>
          <w:highlight w:val="none"/>
        </w:rPr>
        <w:t>30</w:t>
      </w:r>
      <w:r>
        <w:rPr>
          <w:rFonts w:hint="eastAsia" w:ascii="Times New Roman" w:hAnsi="Times New Roman" w:cs="Times New Roman"/>
          <w:bCs/>
          <w:sz w:val="15"/>
          <w:szCs w:val="15"/>
          <w:highlight w:val="none"/>
        </w:rPr>
        <w:t>MP</w:t>
      </w:r>
      <w:r>
        <w:rPr>
          <w:rFonts w:hint="default" w:ascii="Times New Roman" w:hAnsi="Times New Roman" w:cs="Times New Roman"/>
          <w:bCs/>
          <w:sz w:val="15"/>
          <w:szCs w:val="15"/>
          <w:highlight w:val="none"/>
        </w:rPr>
        <w:t>a</w:t>
      </w:r>
      <w:r>
        <w:rPr>
          <w:rFonts w:hint="eastAsia" w:ascii="Times New Roman" w:hAnsi="Times New Roman" w:cs="Times New Roman"/>
          <w:bCs/>
          <w:sz w:val="15"/>
          <w:szCs w:val="15"/>
          <w:highlight w:val="none"/>
        </w:rPr>
        <w:t>。</w:t>
      </w:r>
    </w:p>
    <w:p w14:paraId="48BA9A51">
      <w:pPr>
        <w:ind w:firstLine="150" w:firstLineChars="100"/>
        <w:rPr>
          <w:rFonts w:hint="eastAsia" w:ascii="Times New Roman" w:hAnsi="Times New Roman" w:cs="Times New Roman"/>
          <w:bCs/>
          <w:sz w:val="15"/>
          <w:szCs w:val="15"/>
          <w:highlight w:val="none"/>
        </w:rPr>
      </w:pPr>
      <w:r>
        <w:rPr>
          <w:rFonts w:hint="eastAsia" w:ascii="Times New Roman" w:hAnsi="Times New Roman" w:cs="Times New Roman"/>
          <w:bCs/>
          <w:sz w:val="15"/>
          <w:szCs w:val="15"/>
          <w:highlight w:val="none"/>
        </w:rPr>
        <w:t xml:space="preserve">2 </w:t>
      </w:r>
      <m:oMath>
        <m:sSub>
          <m:sSubPr>
            <m:ctrlPr>
              <w:rPr>
                <w:rFonts w:hint="default" w:ascii="Cambria Math" w:hAnsi="Cambria Math" w:cs="Times New Roman"/>
                <w:bCs/>
                <w:sz w:val="15"/>
                <w:szCs w:val="15"/>
                <w:highlight w:val="none"/>
              </w:rPr>
            </m:ctrlPr>
          </m:sSubPr>
          <m:e>
            <m:r>
              <m:rPr>
                <m:sty m:val="p"/>
              </m:rPr>
              <w:rPr>
                <w:rFonts w:hint="default" w:ascii="Cambria Math" w:hAnsi="Cambria Math" w:cs="Times New Roman"/>
                <w:sz w:val="15"/>
                <w:szCs w:val="15"/>
                <w:highlight w:val="none"/>
              </w:rPr>
              <m:t>ℎ</m:t>
            </m:r>
            <m:ctrlPr>
              <w:rPr>
                <w:rFonts w:hint="default" w:ascii="Cambria Math" w:hAnsi="Cambria Math" w:cs="Times New Roman"/>
                <w:bCs/>
                <w:sz w:val="15"/>
                <w:szCs w:val="15"/>
                <w:highlight w:val="none"/>
              </w:rPr>
            </m:ctrlPr>
          </m:e>
          <m:sub>
            <m:r>
              <m:rPr>
                <m:sty m:val="p"/>
              </m:rPr>
              <w:rPr>
                <w:rFonts w:hint="default" w:ascii="Cambria Math" w:hAnsi="Cambria Math" w:cs="Times New Roman"/>
                <w:sz w:val="15"/>
                <w:szCs w:val="15"/>
                <w:highlight w:val="none"/>
              </w:rPr>
              <m:t>r</m:t>
            </m:r>
            <m:ctrlPr>
              <w:rPr>
                <w:rFonts w:hint="default" w:ascii="Cambria Math" w:hAnsi="Cambria Math" w:cs="Times New Roman"/>
                <w:bCs/>
                <w:sz w:val="15"/>
                <w:szCs w:val="15"/>
                <w:highlight w:val="none"/>
              </w:rPr>
            </m:ctrlPr>
          </m:sub>
        </m:sSub>
      </m:oMath>
      <w:r>
        <w:rPr>
          <w:rFonts w:hint="eastAsia" w:ascii="Times New Roman" w:hAnsi="Times New Roman" w:cs="Times New Roman"/>
          <w:bCs/>
          <w:sz w:val="15"/>
          <w:szCs w:val="15"/>
          <w:highlight w:val="none"/>
        </w:rPr>
        <w:t>为</w:t>
      </w:r>
      <w:r>
        <w:rPr>
          <w:rFonts w:hint="default" w:ascii="Times New Roman" w:hAnsi="Times New Roman" w:cs="Times New Roman"/>
          <w:bCs/>
          <w:sz w:val="15"/>
          <w:szCs w:val="15"/>
          <w:highlight w:val="none"/>
        </w:rPr>
        <w:t>芯桩嵌岩深度，当岩面倾斜时，以坡下方嵌岩深度为准，当</w:t>
      </w:r>
      <m:oMath>
        <m:sSub>
          <m:sSubPr>
            <m:ctrlPr>
              <w:rPr>
                <w:rFonts w:hint="default" w:ascii="Cambria Math" w:hAnsi="Cambria Math" w:cs="Times New Roman"/>
                <w:bCs/>
                <w:sz w:val="15"/>
                <w:szCs w:val="15"/>
                <w:highlight w:val="none"/>
              </w:rPr>
            </m:ctrlPr>
          </m:sSubPr>
          <m:e>
            <m:r>
              <m:rPr>
                <m:sty m:val="p"/>
              </m:rPr>
              <w:rPr>
                <w:rFonts w:hint="default" w:ascii="Cambria Math" w:hAnsi="Cambria Math" w:cs="Times New Roman"/>
                <w:sz w:val="15"/>
                <w:szCs w:val="15"/>
                <w:highlight w:val="none"/>
              </w:rPr>
              <m:t>ℎ</m:t>
            </m:r>
            <m:ctrlPr>
              <w:rPr>
                <w:rFonts w:hint="default" w:ascii="Cambria Math" w:hAnsi="Cambria Math" w:cs="Times New Roman"/>
                <w:bCs/>
                <w:sz w:val="15"/>
                <w:szCs w:val="15"/>
                <w:highlight w:val="none"/>
              </w:rPr>
            </m:ctrlPr>
          </m:e>
          <m:sub>
            <m:r>
              <m:rPr>
                <m:sty m:val="p"/>
              </m:rPr>
              <w:rPr>
                <w:rFonts w:hint="default" w:ascii="Cambria Math" w:hAnsi="Cambria Math" w:cs="Times New Roman"/>
                <w:sz w:val="15"/>
                <w:szCs w:val="15"/>
                <w:highlight w:val="none"/>
              </w:rPr>
              <m:t>r</m:t>
            </m:r>
            <m:ctrlPr>
              <w:rPr>
                <w:rFonts w:hint="default" w:ascii="Cambria Math" w:hAnsi="Cambria Math" w:cs="Times New Roman"/>
                <w:bCs/>
                <w:sz w:val="15"/>
                <w:szCs w:val="15"/>
                <w:highlight w:val="none"/>
              </w:rPr>
            </m:ctrlPr>
          </m:sub>
        </m:sSub>
        <m:r>
          <m:rPr>
            <m:sty m:val="p"/>
          </m:rPr>
          <w:rPr>
            <w:rFonts w:hint="default" w:ascii="Cambria Math" w:hAnsi="Cambria Math" w:cs="Times New Roman"/>
            <w:sz w:val="15"/>
            <w:szCs w:val="15"/>
            <w:highlight w:val="none"/>
          </w:rPr>
          <m:t>/d</m:t>
        </m:r>
      </m:oMath>
      <w:r>
        <w:rPr>
          <w:rFonts w:hint="eastAsia" w:ascii="Times New Roman" w:hAnsi="Times New Roman" w:cs="Times New Roman"/>
          <w:bCs/>
          <w:sz w:val="15"/>
          <w:szCs w:val="15"/>
          <w:highlight w:val="none"/>
        </w:rPr>
        <w:t>为</w:t>
      </w:r>
      <w:r>
        <w:rPr>
          <w:rFonts w:hint="default" w:ascii="Times New Roman" w:hAnsi="Times New Roman" w:cs="Times New Roman"/>
          <w:bCs/>
          <w:sz w:val="15"/>
          <w:szCs w:val="15"/>
          <w:highlight w:val="none"/>
        </w:rPr>
        <w:t>非表列值时，</w:t>
      </w:r>
      <m:oMath>
        <m:sSub>
          <m:sSubPr>
            <m:ctrlPr>
              <w:rPr>
                <w:rFonts w:hint="default" w:ascii="Cambria Math" w:hAnsi="Cambria Math" w:cs="Times New Roman"/>
                <w:bCs/>
                <w:sz w:val="15"/>
                <w:szCs w:val="15"/>
                <w:highlight w:val="none"/>
              </w:rPr>
            </m:ctrlPr>
          </m:sSubPr>
          <m:e>
            <m:r>
              <m:rPr>
                <m:sty m:val="p"/>
              </m:rPr>
              <w:rPr>
                <w:rFonts w:hint="default" w:ascii="Cambria Math" w:hAnsi="Cambria Math" w:cs="Times New Roman"/>
                <w:sz w:val="15"/>
                <w:szCs w:val="15"/>
                <w:highlight w:val="none"/>
              </w:rPr>
              <m:t>δ</m:t>
            </m:r>
            <m:ctrlPr>
              <w:rPr>
                <w:rFonts w:hint="default" w:ascii="Cambria Math" w:hAnsi="Cambria Math" w:cs="Times New Roman"/>
                <w:bCs/>
                <w:sz w:val="15"/>
                <w:szCs w:val="15"/>
                <w:highlight w:val="none"/>
              </w:rPr>
            </m:ctrlPr>
          </m:e>
          <m:sub>
            <m:r>
              <m:rPr>
                <m:sty m:val="p"/>
              </m:rPr>
              <w:rPr>
                <w:rFonts w:hint="default" w:ascii="Cambria Math" w:hAnsi="Cambria Math" w:cs="Times New Roman"/>
                <w:sz w:val="15"/>
                <w:szCs w:val="15"/>
                <w:highlight w:val="none"/>
              </w:rPr>
              <m:t>r</m:t>
            </m:r>
            <m:ctrlPr>
              <w:rPr>
                <w:rFonts w:hint="default" w:ascii="Cambria Math" w:hAnsi="Cambria Math" w:cs="Times New Roman"/>
                <w:bCs/>
                <w:sz w:val="15"/>
                <w:szCs w:val="15"/>
                <w:highlight w:val="none"/>
              </w:rPr>
            </m:ctrlPr>
          </m:sub>
        </m:sSub>
      </m:oMath>
      <w:r>
        <w:rPr>
          <w:rFonts w:hint="eastAsia" w:ascii="Times New Roman" w:hAnsi="Times New Roman" w:cs="Times New Roman"/>
          <w:bCs/>
          <w:sz w:val="15"/>
          <w:szCs w:val="15"/>
          <w:highlight w:val="none"/>
        </w:rPr>
        <w:t>可</w:t>
      </w:r>
      <w:r>
        <w:rPr>
          <w:rFonts w:hint="default" w:ascii="Times New Roman" w:hAnsi="Times New Roman" w:cs="Times New Roman"/>
          <w:bCs/>
          <w:sz w:val="15"/>
          <w:szCs w:val="15"/>
          <w:highlight w:val="none"/>
        </w:rPr>
        <w:t>内插取值</w:t>
      </w:r>
      <w:r>
        <w:rPr>
          <w:rFonts w:hint="eastAsia" w:ascii="Times New Roman" w:hAnsi="Times New Roman" w:cs="Times New Roman"/>
          <w:bCs/>
          <w:sz w:val="15"/>
          <w:szCs w:val="15"/>
          <w:highlight w:val="none"/>
        </w:rPr>
        <w:t>。</w:t>
      </w:r>
    </w:p>
    <w:p w14:paraId="314C3CFC">
      <w:pPr>
        <w:keepNext w:val="0"/>
        <w:keepLines w:val="0"/>
        <w:pageBreakBefore w:val="0"/>
        <w:widowControl w:val="0"/>
        <w:kinsoku/>
        <w:wordWrap/>
        <w:overflowPunct/>
        <w:topLinePunct w:val="0"/>
        <w:autoSpaceDE/>
        <w:autoSpaceDN/>
        <w:bidi w:val="0"/>
        <w:adjustRightInd/>
        <w:snapToGrid/>
        <w:spacing w:line="312" w:lineRule="exact"/>
        <w:ind w:firstLine="422" w:firstLineChars="200"/>
        <w:jc w:val="left"/>
        <w:textAlignment w:val="auto"/>
        <w:rPr>
          <w:rFonts w:hint="eastAsia"/>
          <w:color w:val="auto"/>
        </w:rPr>
      </w:pPr>
      <w:r>
        <w:rPr>
          <w:rFonts w:hint="eastAsia" w:ascii="Times New Roman" w:hAnsi="Times New Roman" w:eastAsia="黑体"/>
          <w:b/>
          <w:bCs/>
          <w:kern w:val="0"/>
          <w:szCs w:val="21"/>
          <w:highlight w:val="none"/>
          <w:lang w:val="en-US" w:eastAsia="zh-CN"/>
        </w:rPr>
        <w:t>3</w:t>
      </w:r>
      <w:r>
        <w:rPr>
          <w:rFonts w:hint="eastAsia" w:ascii="Times New Roman" w:hAnsi="Times New Roman" w:eastAsiaTheme="minorEastAsia"/>
          <w:szCs w:val="21"/>
          <w:highlight w:val="none"/>
          <w:lang w:val="en-US" w:eastAsia="zh-CN"/>
        </w:rPr>
        <w:t xml:space="preserve"> </w:t>
      </w:r>
      <w:r>
        <w:rPr>
          <w:rFonts w:hint="eastAsia"/>
          <w:color w:val="auto"/>
        </w:rPr>
        <w:t>当</w:t>
      </w:r>
      <w:r>
        <w:rPr>
          <w:rFonts w:hint="eastAsia"/>
          <w:color w:val="auto"/>
          <w:lang w:val="en-US" w:eastAsia="zh-CN"/>
        </w:rPr>
        <w:t>外芯材料为水泥土或固化土且外芯</w:t>
      </w:r>
      <w:r>
        <w:rPr>
          <w:rFonts w:hint="eastAsia"/>
          <w:color w:val="auto"/>
        </w:rPr>
        <w:t>与芯桩直径比大于</w:t>
      </w:r>
      <w:r>
        <w:rPr>
          <w:rFonts w:hint="eastAsia" w:ascii="Times New Roman" w:hAnsi="Times New Roman" w:eastAsia="宋体" w:cs="Times New Roman"/>
          <w:szCs w:val="21"/>
          <w:highlight w:val="none"/>
        </w:rPr>
        <w:t>2</w:t>
      </w:r>
      <w:r>
        <w:rPr>
          <w:rFonts w:hint="eastAsia"/>
          <w:color w:val="auto"/>
        </w:rPr>
        <w:t>时，需按</w:t>
      </w:r>
      <w:r>
        <w:rPr>
          <w:rFonts w:hint="eastAsia"/>
          <w:color w:val="auto"/>
          <w:lang w:val="en-US" w:eastAsia="zh-CN"/>
        </w:rPr>
        <w:t>下</w:t>
      </w:r>
      <w:r>
        <w:rPr>
          <w:rFonts w:hint="eastAsia"/>
          <w:color w:val="auto"/>
        </w:rPr>
        <w:t>式进行芯桩界面承载力验算</w:t>
      </w:r>
      <w:r>
        <w:rPr>
          <w:rFonts w:hint="eastAsia"/>
          <w:strike w:val="0"/>
          <w:dstrike w:val="0"/>
          <w:color w:val="auto"/>
        </w:rPr>
        <w:t>：</w:t>
      </w:r>
      <w:r>
        <w:rPr>
          <w:rFonts w:hint="eastAsia"/>
          <w:strike w:val="0"/>
          <w:color w:val="auto"/>
        </w:rPr>
        <w:t xml:space="preserve"> </w:t>
      </w:r>
      <w:r>
        <w:rPr>
          <w:rFonts w:hint="eastAsia"/>
          <w:color w:val="auto"/>
        </w:rPr>
        <w:t xml:space="preserve">  </w:t>
      </w:r>
    </w:p>
    <w:p w14:paraId="54FD5E1C">
      <w:pPr>
        <w:pStyle w:val="82"/>
        <w:keepNext w:val="0"/>
        <w:keepLines w:val="0"/>
        <w:pageBreakBefore w:val="0"/>
        <w:widowControl w:val="0"/>
        <w:kinsoku/>
        <w:wordWrap/>
        <w:overflowPunct/>
        <w:topLinePunct w:val="0"/>
        <w:autoSpaceDE/>
        <w:autoSpaceDN/>
        <w:bidi w:val="0"/>
        <w:adjustRightInd/>
        <w:snapToGrid/>
        <w:spacing w:line="400" w:lineRule="exact"/>
        <w:ind w:firstLine="420"/>
        <w:jc w:val="center"/>
        <w:textAlignment w:val="auto"/>
        <w:rPr>
          <w:color w:val="auto"/>
        </w:rPr>
      </w:pPr>
      <w:r>
        <w:rPr>
          <w:rFonts w:ascii="Times New Roman" w:hAnsi="Times New Roman" w:eastAsiaTheme="minorEastAsia"/>
          <w:position w:val="-14"/>
          <w:szCs w:val="21"/>
          <w:highlight w:val="none"/>
        </w:rPr>
        <w:object>
          <v:shape id="_x0000_i1115" o:spt="75" type="#_x0000_t75" style="height:19.5pt;width:118.55pt;" o:ole="t" filled="f" o:preferrelative="t" stroked="f" coordsize="21600,21600">
            <v:path/>
            <v:fill on="f" focussize="0,0"/>
            <v:stroke on="f"/>
            <v:imagedata r:id="rId186" o:title=""/>
            <o:lock v:ext="edit" aspectratio="t"/>
            <w10:wrap type="none"/>
            <w10:anchorlock/>
          </v:shape>
          <o:OLEObject Type="Embed" ProgID="Equation.3" ShapeID="_x0000_i1115" DrawAspect="Content" ObjectID="_1468075815" r:id="rId185">
            <o:LockedField>false</o:LockedField>
          </o:OLEObject>
        </w:object>
      </w:r>
    </w:p>
    <w:p w14:paraId="2ABB7623">
      <w:pPr>
        <w:pStyle w:val="82"/>
        <w:keepNext w:val="0"/>
        <w:keepLines w:val="0"/>
        <w:pageBreakBefore w:val="0"/>
        <w:widowControl w:val="0"/>
        <w:kinsoku/>
        <w:wordWrap/>
        <w:overflowPunct/>
        <w:topLinePunct w:val="0"/>
        <w:autoSpaceDE/>
        <w:autoSpaceDN/>
        <w:bidi w:val="0"/>
        <w:adjustRightInd/>
        <w:snapToGrid/>
        <w:spacing w:line="400" w:lineRule="exact"/>
        <w:textAlignment w:val="auto"/>
      </w:pPr>
      <w:r>
        <w:rPr>
          <w:rFonts w:ascii="Times New Roman" w:hAnsi="Times New Roman" w:eastAsiaTheme="minorEastAsia"/>
          <w:position w:val="-12"/>
          <w:szCs w:val="21"/>
          <w:highlight w:val="none"/>
        </w:rPr>
        <w:object>
          <v:shape id="_x0000_i1116" o:spt="75" type="#_x0000_t75" style="height:17.5pt;width:13.3pt;" o:ole="t" filled="f" o:preferrelative="t" stroked="f" coordsize="21600,21600">
            <v:path/>
            <v:fill on="f" focussize="0,0"/>
            <v:stroke on="f"/>
            <v:imagedata r:id="rId188" o:title=""/>
            <o:lock v:ext="edit" aspectratio="t"/>
            <w10:wrap type="none"/>
            <w10:anchorlock/>
          </v:shape>
          <o:OLEObject Type="Embed" ProgID="Equation.3" ShapeID="_x0000_i1116" DrawAspect="Content" ObjectID="_1468075816" r:id="rId187">
            <o:LockedField>false</o:LockedField>
          </o:OLEObject>
        </w:object>
      </w:r>
      <w:r>
        <w:rPr>
          <w:rFonts w:ascii="Times New Roman" w:hAnsi="Times New Roman"/>
          <w:color w:val="auto"/>
          <w:highlight w:val="none"/>
        </w:rPr>
        <w:t>——</w:t>
      </w:r>
      <w:r>
        <w:rPr>
          <w:rStyle w:val="51"/>
          <w:rFonts w:eastAsiaTheme="minorEastAsia"/>
          <w:sz w:val="21"/>
        </w:rPr>
        <w:t>芯桩周长（</w:t>
      </w:r>
      <w:r>
        <w:rPr>
          <w:rStyle w:val="51"/>
          <w:rFonts w:hint="default" w:ascii="Times New Roman" w:hAnsi="Times New Roman" w:cs="Times New Roman" w:eastAsiaTheme="minorEastAsia"/>
          <w:sz w:val="21"/>
        </w:rPr>
        <w:t>m</w:t>
      </w:r>
      <w:r>
        <w:rPr>
          <w:rStyle w:val="51"/>
          <w:rFonts w:eastAsiaTheme="minorEastAsia"/>
          <w:sz w:val="21"/>
        </w:rPr>
        <w:t>）；</w:t>
      </w:r>
    </w:p>
    <w:p w14:paraId="7F81A466">
      <w:pPr>
        <w:pStyle w:val="82"/>
        <w:keepNext w:val="0"/>
        <w:keepLines w:val="0"/>
        <w:pageBreakBefore w:val="0"/>
        <w:widowControl w:val="0"/>
        <w:kinsoku/>
        <w:wordWrap/>
        <w:overflowPunct/>
        <w:topLinePunct w:val="0"/>
        <w:autoSpaceDE/>
        <w:autoSpaceDN/>
        <w:bidi w:val="0"/>
        <w:adjustRightInd/>
        <w:snapToGrid/>
        <w:spacing w:line="400" w:lineRule="exact"/>
        <w:ind w:left="1050" w:leftChars="200" w:hanging="630" w:hangingChars="300"/>
        <w:textAlignment w:val="auto"/>
        <w:rPr>
          <w:rFonts w:hint="eastAsia" w:eastAsia="宋体"/>
          <w:lang w:eastAsia="zh-CN"/>
        </w:rPr>
      </w:pPr>
      <w:r>
        <w:rPr>
          <w:rFonts w:ascii="Times New Roman" w:hAnsi="Times New Roman" w:eastAsiaTheme="minorEastAsia"/>
          <w:position w:val="-12"/>
          <w:szCs w:val="21"/>
          <w:highlight w:val="none"/>
        </w:rPr>
        <w:object>
          <v:shape id="_x0000_i1117" o:spt="75" type="#_x0000_t75" style="height:17.5pt;width:19.4pt;" o:ole="t" filled="f" o:preferrelative="t" stroked="f" coordsize="21600,21600">
            <v:path/>
            <v:fill on="f" focussize="0,0"/>
            <v:stroke on="f"/>
            <v:imagedata r:id="rId190" o:title=""/>
            <o:lock v:ext="edit" aspectratio="t"/>
            <w10:wrap type="none"/>
            <w10:anchorlock/>
          </v:shape>
          <o:OLEObject Type="Embed" ProgID="Equation.3" ShapeID="_x0000_i1117" DrawAspect="Content" ObjectID="_1468075817" r:id="rId189">
            <o:LockedField>false</o:LockedField>
          </o:OLEObject>
        </w:object>
      </w:r>
      <w:r>
        <w:rPr>
          <w:rFonts w:ascii="Times New Roman" w:hAnsi="Times New Roman"/>
          <w:color w:val="auto"/>
          <w:highlight w:val="none"/>
        </w:rPr>
        <w:t>——</w:t>
      </w:r>
      <w:r>
        <w:rPr>
          <w:rFonts w:hint="eastAsia"/>
          <w:highlight w:val="none"/>
        </w:rPr>
        <w:t>第</w:t>
      </w:r>
      <w:r>
        <w:rPr>
          <w:rFonts w:hint="eastAsia" w:eastAsia="Times New Roman"/>
          <w:i/>
          <w:highlight w:val="none"/>
        </w:rPr>
        <w:t>i</w:t>
      </w:r>
      <w:r>
        <w:rPr>
          <w:rFonts w:hint="eastAsia"/>
          <w:highlight w:val="none"/>
        </w:rPr>
        <w:t>层土</w:t>
      </w:r>
      <w:r>
        <w:rPr>
          <w:rFonts w:hint="eastAsia"/>
          <w:highlight w:val="none"/>
          <w:lang w:val="en-US" w:eastAsia="zh-CN"/>
        </w:rPr>
        <w:t>处，内</w:t>
      </w:r>
      <w:r>
        <w:rPr>
          <w:rFonts w:hint="eastAsia"/>
          <w:highlight w:val="none"/>
        </w:rPr>
        <w:t>外芯界面的极限侧阻力标准值</w:t>
      </w:r>
      <w:r>
        <w:t>（</w:t>
      </w:r>
      <w:r>
        <w:rPr>
          <w:rFonts w:hint="eastAsia" w:ascii="Times New Roman" w:hAnsi="Times New Roman" w:eastAsia="宋体" w:cs="Times New Roman"/>
          <w:color w:val="auto"/>
          <w:kern w:val="2"/>
          <w:sz w:val="21"/>
          <w:szCs w:val="21"/>
          <w:highlight w:val="none"/>
          <w:lang w:val="en-US" w:eastAsia="zh-CN" w:bidi="ar-SA"/>
        </w:rPr>
        <w:t>kPa</w:t>
      </w:r>
      <w:r>
        <w:t>）</w:t>
      </w:r>
      <w:r>
        <w:rPr>
          <w:rFonts w:hint="eastAsia"/>
          <w:lang w:eastAsia="zh-CN"/>
        </w:rPr>
        <w:t>，</w:t>
      </w:r>
      <w:r>
        <w:rPr>
          <w:rFonts w:hint="eastAsia" w:ascii="宋体" w:hAnsi="宋体"/>
          <w:bCs/>
          <w:szCs w:val="21"/>
          <w:highlight w:val="none"/>
          <w:lang w:val="en-US" w:eastAsia="zh-CN"/>
        </w:rPr>
        <w:t>预制桩植桩内外芯之间的侧摩阻力标准值通常按外芯强度的8</w:t>
      </w:r>
      <w:r>
        <w:rPr>
          <w:rFonts w:hint="eastAsia" w:ascii="Times New Roman" w:hAnsi="Times New Roman" w:cs="Times New Roman"/>
          <w:bCs/>
          <w:szCs w:val="21"/>
          <w:highlight w:val="none"/>
          <w:lang w:val="en-US" w:eastAsia="zh-CN"/>
        </w:rPr>
        <w:t>%~16%</w:t>
      </w:r>
      <w:r>
        <w:rPr>
          <w:rFonts w:hint="eastAsia" w:ascii="宋体" w:hAnsi="宋体"/>
          <w:bCs/>
          <w:szCs w:val="21"/>
          <w:highlight w:val="none"/>
          <w:lang w:val="en-US" w:eastAsia="zh-CN"/>
        </w:rPr>
        <w:t>取值</w:t>
      </w:r>
      <w:r>
        <w:rPr>
          <w:rFonts w:hint="eastAsia"/>
          <w:lang w:eastAsia="zh-CN"/>
        </w:rPr>
        <w:t>。</w:t>
      </w:r>
    </w:p>
    <w:p w14:paraId="54D3140C">
      <w:pPr>
        <w:pStyle w:val="82"/>
        <w:ind w:left="0" w:leftChars="0" w:firstLine="0" w:firstLineChars="0"/>
        <w:rPr>
          <w:rFonts w:ascii="Times New Roman" w:hAnsi="Times New Roman"/>
          <w:color w:val="auto"/>
          <w:highlight w:val="none"/>
        </w:rPr>
      </w:pPr>
      <w:r>
        <w:rPr>
          <w:rFonts w:hint="default" w:ascii="Times New Roman" w:hAnsi="Times New Roman" w:eastAsia="黑体" w:cs="Times New Roman"/>
          <w:b/>
          <w:bCs/>
          <w:color w:val="auto"/>
          <w:kern w:val="0"/>
          <w:sz w:val="21"/>
          <w:szCs w:val="21"/>
          <w:highlight w:val="none"/>
          <w:lang w:val="en-US" w:eastAsia="zh-CN" w:bidi="ar-SA"/>
        </w:rPr>
        <w:t>4</w:t>
      </w:r>
      <w:r>
        <w:rPr>
          <w:rFonts w:ascii="Times New Roman" w:hAnsi="Times New Roman" w:eastAsia="黑体" w:cs="Times New Roman"/>
          <w:b/>
          <w:bCs/>
          <w:color w:val="auto"/>
          <w:kern w:val="0"/>
          <w:sz w:val="21"/>
          <w:szCs w:val="21"/>
          <w:highlight w:val="none"/>
          <w:lang w:val="en-US" w:eastAsia="zh-CN" w:bidi="ar-SA"/>
        </w:rPr>
        <w:t>.3.</w:t>
      </w:r>
      <w:r>
        <w:rPr>
          <w:rFonts w:hint="eastAsia" w:ascii="Times New Roman" w:hAnsi="Times New Roman" w:eastAsia="黑体" w:cs="Times New Roman"/>
          <w:b/>
          <w:bCs/>
          <w:color w:val="auto"/>
          <w:kern w:val="0"/>
          <w:sz w:val="21"/>
          <w:szCs w:val="21"/>
          <w:highlight w:val="none"/>
          <w:lang w:val="en-US" w:eastAsia="zh-CN" w:bidi="ar-SA"/>
        </w:rPr>
        <w:t>9</w:t>
      </w:r>
      <w:r>
        <w:rPr>
          <w:rFonts w:ascii="Times New Roman" w:hAnsi="Times New Roman" w:eastAsiaTheme="minorEastAsia"/>
          <w:b/>
          <w:szCs w:val="21"/>
          <w:highlight w:val="none"/>
        </w:rPr>
        <w:t xml:space="preserve"> </w:t>
      </w:r>
      <w:r>
        <w:rPr>
          <w:rFonts w:hint="eastAsia" w:ascii="Times New Roman" w:hAnsi="Times New Roman"/>
          <w:color w:val="auto"/>
          <w:highlight w:val="none"/>
          <w:lang w:val="en-US" w:eastAsia="zh-CN"/>
        </w:rPr>
        <w:t>预制桩植桩</w:t>
      </w:r>
      <w:r>
        <w:rPr>
          <w:rFonts w:ascii="Times New Roman" w:hAnsi="Times New Roman"/>
          <w:color w:val="auto"/>
          <w:highlight w:val="none"/>
        </w:rPr>
        <w:t>应</w:t>
      </w:r>
      <w:r>
        <w:rPr>
          <w:rFonts w:hint="default" w:ascii="Times New Roman" w:hAnsi="Times New Roman"/>
          <w:color w:val="auto"/>
          <w:highlight w:val="none"/>
        </w:rPr>
        <w:t>根据混凝土原材料</w:t>
      </w:r>
      <w:r>
        <w:rPr>
          <w:rFonts w:hint="eastAsia" w:ascii="Times New Roman" w:hAnsi="Times New Roman"/>
          <w:color w:val="auto"/>
          <w:highlight w:val="none"/>
          <w:lang w:eastAsia="zh-CN"/>
        </w:rPr>
        <w:t>、</w:t>
      </w:r>
      <w:r>
        <w:rPr>
          <w:rFonts w:hint="default" w:ascii="Times New Roman" w:hAnsi="Times New Roman"/>
          <w:color w:val="auto"/>
          <w:highlight w:val="none"/>
        </w:rPr>
        <w:t>生产工艺、</w:t>
      </w:r>
      <w:r>
        <w:rPr>
          <w:rFonts w:ascii="Times New Roman" w:hAnsi="Times New Roman"/>
          <w:color w:val="auto"/>
          <w:highlight w:val="none"/>
        </w:rPr>
        <w:t>成桩工艺、工作条件按下式验算</w:t>
      </w:r>
      <w:r>
        <w:rPr>
          <w:rFonts w:hint="default" w:ascii="Times New Roman" w:hAnsi="Times New Roman"/>
          <w:color w:val="auto"/>
          <w:highlight w:val="none"/>
        </w:rPr>
        <w:t>桩身强度</w:t>
      </w:r>
      <w:r>
        <w:rPr>
          <w:rFonts w:ascii="Times New Roman" w:hAnsi="Times New Roman"/>
          <w:color w:val="auto"/>
          <w:highlight w:val="none"/>
        </w:rPr>
        <w:t>：</w:t>
      </w:r>
    </w:p>
    <w:p w14:paraId="55F848C5">
      <w:pPr>
        <w:keepNext w:val="0"/>
        <w:keepLines w:val="0"/>
        <w:pageBreakBefore w:val="0"/>
        <w:widowControl w:val="0"/>
        <w:kinsoku/>
        <w:wordWrap/>
        <w:overflowPunct/>
        <w:topLinePunct w:val="0"/>
        <w:autoSpaceDE/>
        <w:autoSpaceDN/>
        <w:bidi w:val="0"/>
        <w:adjustRightInd/>
        <w:snapToGrid w:val="0"/>
        <w:spacing w:line="400" w:lineRule="exact"/>
        <w:jc w:val="right"/>
        <w:textAlignment w:val="auto"/>
        <w:rPr>
          <w:rFonts w:ascii="Times New Roman" w:hAnsi="Times New Roman" w:eastAsia="宋体" w:cs="Times New Roman"/>
          <w:szCs w:val="21"/>
          <w:highlight w:val="none"/>
        </w:rPr>
      </w:pPr>
      <w:r>
        <w:rPr>
          <w:rFonts w:ascii="Times New Roman" w:hAnsi="Times New Roman" w:eastAsia="宋体"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ascii="Times New Roman" w:hAnsi="Times New Roman" w:eastAsia="宋体" w:cs="Times New Roman"/>
          <w:szCs w:val="21"/>
          <w:highlight w:val="none"/>
        </w:rPr>
        <w:t xml:space="preserve">   </w:t>
      </w:r>
      <w:r>
        <w:rPr>
          <w:rFonts w:ascii="Times New Roman" w:hAnsi="Times New Roman" w:eastAsiaTheme="minorEastAsia"/>
          <w:position w:val="-14"/>
          <w:szCs w:val="21"/>
          <w:highlight w:val="none"/>
        </w:rPr>
        <w:object>
          <v:shape id="_x0000_i1118" o:spt="75" type="#_x0000_t75" style="height:18.45pt;width:60.25pt;" o:ole="t" filled="f" o:preferrelative="t" stroked="f" coordsize="21600,21600">
            <v:path/>
            <v:fill on="f" focussize="0,0"/>
            <v:stroke on="f"/>
            <v:imagedata r:id="rId192" o:title=""/>
            <o:lock v:ext="edit" aspectratio="t"/>
            <w10:wrap type="none"/>
            <w10:anchorlock/>
          </v:shape>
          <o:OLEObject Type="Embed" ProgID="Equation.3" ShapeID="_x0000_i1118" DrawAspect="Content" ObjectID="_1468075818" r:id="rId191">
            <o:LockedField>false</o:LockedField>
          </o:OLEObject>
        </w:object>
      </w:r>
      <w:r>
        <w:rPr>
          <w:rFonts w:ascii="Times New Roman" w:hAnsi="Times New Roman" w:eastAsia="宋体" w:cs="Times New Roman"/>
          <w:szCs w:val="21"/>
          <w:highlight w:val="none"/>
        </w:rPr>
        <w:t xml:space="preserve">                 (</w:t>
      </w:r>
      <w:r>
        <w:rPr>
          <w:rFonts w:hint="eastAsia" w:ascii="Times New Roman" w:hAnsi="Times New Roman" w:eastAsia="宋体" w:cs="Times New Roman"/>
          <w:szCs w:val="21"/>
          <w:highlight w:val="none"/>
        </w:rPr>
        <w:t>4.</w:t>
      </w:r>
      <w:r>
        <w:rPr>
          <w:rFonts w:hint="eastAsia" w:ascii="Times New Roman" w:hAnsi="Times New Roman" w:cs="Times New Roman"/>
          <w:szCs w:val="21"/>
          <w:highlight w:val="none"/>
          <w:lang w:val="en-US" w:eastAsia="zh-CN"/>
        </w:rPr>
        <w:t>3.9</w:t>
      </w:r>
      <w:r>
        <w:rPr>
          <w:rFonts w:ascii="Times New Roman" w:hAnsi="Times New Roman" w:eastAsia="宋体" w:cs="Times New Roman"/>
          <w:szCs w:val="21"/>
          <w:highlight w:val="none"/>
        </w:rPr>
        <w:t>)</w:t>
      </w:r>
    </w:p>
    <w:p w14:paraId="7D583892">
      <w:pPr>
        <w:pStyle w:val="83"/>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color w:val="auto"/>
          <w:position w:val="-12"/>
          <w:highlight w:val="none"/>
        </w:rPr>
      </w:pPr>
      <w:r>
        <w:rPr>
          <w:rFonts w:ascii="Times New Roman" w:hAnsi="Times New Roman"/>
          <w:bCs/>
          <w:color w:val="auto"/>
          <w:highlight w:val="none"/>
        </w:rPr>
        <w:t>式中</w:t>
      </w:r>
      <w:r>
        <w:rPr>
          <w:rFonts w:ascii="Times New Roman" w:hAnsi="Times New Roman" w:eastAsiaTheme="minorEastAsia"/>
          <w:position w:val="-6"/>
          <w:szCs w:val="21"/>
          <w:highlight w:val="none"/>
        </w:rPr>
        <w:object>
          <v:shape id="_x0000_i1119" o:spt="75" type="#_x0000_t75" style="height:13.55pt;width:14.25pt;" o:ole="t" filled="f" o:preferrelative="t" stroked="f" coordsize="21600,21600">
            <v:path/>
            <v:fill on="f" focussize="0,0"/>
            <v:stroke on="f"/>
            <v:imagedata r:id="rId194" o:title=""/>
            <o:lock v:ext="edit" aspectratio="t"/>
            <w10:wrap type="none"/>
            <w10:anchorlock/>
          </v:shape>
          <o:OLEObject Type="Embed" ProgID="Equation.3" ShapeID="_x0000_i1119" DrawAspect="Content" ObjectID="_1468075819" r:id="rId193">
            <o:LockedField>false</o:LockedField>
          </o:OLEObject>
        </w:object>
      </w:r>
      <w:r>
        <w:rPr>
          <w:rFonts w:ascii="Times New Roman" w:hAnsi="Times New Roman"/>
          <w:color w:val="auto"/>
          <w:highlight w:val="none"/>
        </w:rPr>
        <w:t>——</w:t>
      </w:r>
      <w:r>
        <w:rPr>
          <w:rFonts w:hint="eastAsia" w:ascii="Times New Roman" w:hAnsi="Times New Roman"/>
          <w:color w:val="auto"/>
          <w:highlight w:val="none"/>
          <w:lang w:val="en-US" w:eastAsia="zh-CN"/>
        </w:rPr>
        <w:t>荷载效应基本组合下的桩顶轴向</w:t>
      </w:r>
      <w:r>
        <w:rPr>
          <w:rFonts w:ascii="Times New Roman" w:hAnsi="Times New Roman"/>
          <w:color w:val="auto"/>
          <w:highlight w:val="none"/>
        </w:rPr>
        <w:t>压力设计值（kN）；</w:t>
      </w:r>
    </w:p>
    <w:p w14:paraId="76EFB600">
      <w:pPr>
        <w:pStyle w:val="83"/>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color w:val="auto"/>
          <w:highlight w:val="none"/>
        </w:rPr>
      </w:pPr>
      <w:r>
        <w:rPr>
          <w:rFonts w:hint="default" w:ascii="Times New Roman" w:hAnsi="Times New Roman"/>
          <w:b/>
          <w:color w:val="auto"/>
          <w:highlight w:val="none"/>
        </w:rPr>
        <w:t xml:space="preserve">  </w:t>
      </w:r>
      <w:r>
        <w:rPr>
          <w:rFonts w:ascii="Times New Roman" w:hAnsi="Times New Roman"/>
          <w:b/>
          <w:color w:val="auto"/>
          <w:highlight w:val="none"/>
        </w:rPr>
        <w:t xml:space="preserve">  </w:t>
      </w:r>
      <w:r>
        <w:rPr>
          <w:rFonts w:ascii="Times New Roman" w:hAnsi="Times New Roman" w:eastAsiaTheme="minorEastAsia"/>
          <w:position w:val="-12"/>
          <w:szCs w:val="21"/>
          <w:highlight w:val="none"/>
        </w:rPr>
        <w:object>
          <v:shape id="_x0000_i1120" o:spt="75" type="#_x0000_t75" style="height:17.5pt;width:15.35pt;" o:ole="t" filled="f" o:preferrelative="t" stroked="f" coordsize="21600,21600">
            <v:path/>
            <v:fill on="f" focussize="0,0"/>
            <v:stroke on="f"/>
            <v:imagedata r:id="rId196" o:title=""/>
            <o:lock v:ext="edit" aspectratio="t"/>
            <w10:wrap type="none"/>
            <w10:anchorlock/>
          </v:shape>
          <o:OLEObject Type="Embed" ProgID="Equation.3" ShapeID="_x0000_i1120" DrawAspect="Content" ObjectID="_1468075820" r:id="rId195">
            <o:LockedField>false</o:LockedField>
          </o:OLEObject>
        </w:object>
      </w:r>
      <w:r>
        <w:rPr>
          <w:rFonts w:ascii="Times New Roman" w:hAnsi="Times New Roman"/>
          <w:color w:val="auto"/>
          <w:highlight w:val="none"/>
        </w:rPr>
        <w:t>——</w:t>
      </w:r>
      <w:r>
        <w:rPr>
          <w:rFonts w:hint="eastAsia" w:ascii="Times New Roman" w:hAnsi="Times New Roman"/>
          <w:color w:val="auto"/>
          <w:highlight w:val="none"/>
          <w:lang w:val="en-US" w:eastAsia="zh-CN"/>
        </w:rPr>
        <w:t>成桩工艺系数</w:t>
      </w:r>
      <w:r>
        <w:rPr>
          <w:rFonts w:hint="default" w:ascii="Times New Roman" w:hAnsi="Times New Roman"/>
          <w:color w:val="auto"/>
          <w:highlight w:val="none"/>
        </w:rPr>
        <w:t>，一般</w:t>
      </w:r>
      <w:r>
        <w:rPr>
          <w:rFonts w:hint="default" w:ascii="Times New Roman" w:hAnsi="Times New Roman"/>
          <w:color w:val="auto"/>
          <w:kern w:val="0"/>
          <w:highlight w:val="none"/>
        </w:rPr>
        <w:t>可取</w:t>
      </w:r>
      <w:r>
        <w:rPr>
          <w:rFonts w:ascii="Times New Roman" w:hAnsi="Times New Roman"/>
          <w:color w:val="auto"/>
          <w:kern w:val="0"/>
          <w:highlight w:val="none"/>
        </w:rPr>
        <w:t>0.85</w:t>
      </w:r>
      <w:r>
        <w:rPr>
          <w:rFonts w:hint="default" w:ascii="Times New Roman" w:hAnsi="Times New Roman"/>
          <w:color w:val="auto"/>
          <w:highlight w:val="none"/>
        </w:rPr>
        <w:t>；</w:t>
      </w:r>
    </w:p>
    <w:p w14:paraId="5C9D3B00">
      <w:pPr>
        <w:pStyle w:val="83"/>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color w:val="auto"/>
          <w:highlight w:val="none"/>
        </w:rPr>
      </w:pPr>
      <w:r>
        <w:rPr>
          <w:rFonts w:hint="default" w:ascii="Times New Roman" w:hAnsi="Times New Roman"/>
          <w:b/>
          <w:color w:val="auto"/>
          <w:highlight w:val="none"/>
        </w:rPr>
        <w:t xml:space="preserve">  </w:t>
      </w:r>
      <w:r>
        <w:rPr>
          <w:rFonts w:ascii="Times New Roman" w:hAnsi="Times New Roman"/>
          <w:b/>
          <w:color w:val="auto"/>
          <w:highlight w:val="none"/>
        </w:rPr>
        <w:t xml:space="preserve"> </w:t>
      </w:r>
      <w:r>
        <w:rPr>
          <w:rFonts w:ascii="Times New Roman" w:hAnsi="Times New Roman" w:eastAsiaTheme="minorEastAsia"/>
          <w:position w:val="-12"/>
          <w:szCs w:val="21"/>
          <w:highlight w:val="none"/>
        </w:rPr>
        <w:object>
          <v:shape id="_x0000_i1121" o:spt="75" type="#_x0000_t75" style="height:17.5pt;width:13.3pt;" o:ole="t" filled="f" o:preferrelative="t" stroked="f" coordsize="21600,21600">
            <v:path/>
            <v:fill on="f" focussize="0,0"/>
            <v:stroke on="f"/>
            <v:imagedata r:id="rId198" o:title=""/>
            <o:lock v:ext="edit" aspectratio="t"/>
            <w10:wrap type="none"/>
            <w10:anchorlock/>
          </v:shape>
          <o:OLEObject Type="Embed" ProgID="Equation.3" ShapeID="_x0000_i1121" DrawAspect="Content" ObjectID="_1468075821" r:id="rId197">
            <o:LockedField>false</o:LockedField>
          </o:OLEObject>
        </w:object>
      </w:r>
      <w:r>
        <w:rPr>
          <w:rFonts w:ascii="Times New Roman" w:hAnsi="Times New Roman"/>
          <w:color w:val="auto"/>
          <w:highlight w:val="none"/>
        </w:rPr>
        <w:t>——混凝土轴心抗压强度设计值(MPa)，</w:t>
      </w:r>
      <w:r>
        <w:rPr>
          <w:rFonts w:hint="default" w:ascii="Times New Roman" w:hAnsi="Times New Roman"/>
          <w:color w:val="auto"/>
          <w:highlight w:val="none"/>
        </w:rPr>
        <w:t>按现行国家标准《混凝土结构设计</w:t>
      </w:r>
      <w:r>
        <w:rPr>
          <w:rFonts w:hint="eastAsia" w:ascii="Times New Roman" w:hAnsi="Times New Roman"/>
          <w:color w:val="auto"/>
          <w:highlight w:val="none"/>
          <w:lang w:val="en-US" w:eastAsia="zh-CN"/>
        </w:rPr>
        <w:t>标准</w:t>
      </w:r>
      <w:r>
        <w:rPr>
          <w:rFonts w:hint="default" w:ascii="Times New Roman" w:hAnsi="Times New Roman"/>
          <w:color w:val="auto"/>
          <w:highlight w:val="none"/>
        </w:rPr>
        <w:t>》</w:t>
      </w:r>
      <w:r>
        <w:rPr>
          <w:rFonts w:ascii="Times New Roman" w:hAnsi="Times New Roman"/>
          <w:color w:val="auto"/>
          <w:highlight w:val="none"/>
        </w:rPr>
        <w:t>GB</w:t>
      </w:r>
      <w:r>
        <w:rPr>
          <w:rFonts w:hint="eastAsia" w:ascii="Times New Roman" w:hAnsi="Times New Roman"/>
          <w:color w:val="auto"/>
          <w:highlight w:val="none"/>
          <w:lang w:val="en-US" w:eastAsia="zh-CN"/>
        </w:rPr>
        <w:t>/T</w:t>
      </w:r>
      <w:r>
        <w:rPr>
          <w:rFonts w:ascii="Times New Roman" w:hAnsi="Times New Roman"/>
          <w:color w:val="auto"/>
          <w:highlight w:val="none"/>
        </w:rPr>
        <w:t xml:space="preserve"> 50010</w:t>
      </w:r>
      <w:r>
        <w:rPr>
          <w:rFonts w:hint="default" w:ascii="Times New Roman" w:hAnsi="Times New Roman"/>
          <w:color w:val="auto"/>
          <w:highlight w:val="none"/>
        </w:rPr>
        <w:t>的规定取值</w:t>
      </w:r>
      <w:r>
        <w:rPr>
          <w:rFonts w:hint="eastAsia" w:ascii="Times New Roman" w:hAnsi="Times New Roman"/>
          <w:color w:val="auto"/>
          <w:highlight w:val="none"/>
          <w:lang w:eastAsia="zh-CN"/>
        </w:rPr>
        <w:t>，</w:t>
      </w:r>
      <w:r>
        <w:rPr>
          <w:rFonts w:hint="eastAsia"/>
          <w:szCs w:val="24"/>
          <w:highlight w:val="none"/>
        </w:rPr>
        <w:t>当</w:t>
      </w:r>
      <w:r>
        <w:rPr>
          <w:rFonts w:hint="eastAsia" w:ascii="Times New Roman" w:hAnsi="Times New Roman" w:eastAsiaTheme="minorEastAsia"/>
          <w:szCs w:val="21"/>
          <w:highlight w:val="none"/>
          <w:lang w:val="en-US" w:eastAsia="zh-CN"/>
        </w:rPr>
        <w:t>芯桩桩身强度大于C80</w:t>
      </w:r>
      <w:r>
        <w:rPr>
          <w:rFonts w:hint="eastAsia"/>
          <w:szCs w:val="24"/>
          <w:highlight w:val="none"/>
        </w:rPr>
        <w:t>时，</w:t>
      </w:r>
      <w:r>
        <w:rPr>
          <w:rFonts w:hint="eastAsia"/>
          <w:szCs w:val="24"/>
          <w:highlight w:val="none"/>
          <w:lang w:val="en-US" w:eastAsia="zh-CN"/>
        </w:rPr>
        <w:t>宜</w:t>
      </w:r>
      <w:r>
        <w:rPr>
          <w:rFonts w:hint="eastAsia"/>
          <w:szCs w:val="24"/>
          <w:highlight w:val="none"/>
        </w:rPr>
        <w:t>按表</w:t>
      </w:r>
      <w:r>
        <w:rPr>
          <w:rFonts w:hint="default" w:ascii="Times New Roman" w:hAnsi="Times New Roman" w:cs="Times New Roman"/>
          <w:szCs w:val="24"/>
          <w:highlight w:val="none"/>
          <w:lang w:val="en-US" w:eastAsia="zh-CN"/>
        </w:rPr>
        <w:t>4.3.9</w:t>
      </w:r>
      <w:r>
        <w:rPr>
          <w:rFonts w:hint="eastAsia"/>
          <w:szCs w:val="24"/>
          <w:highlight w:val="none"/>
        </w:rPr>
        <w:t>取值</w:t>
      </w:r>
      <w:r>
        <w:rPr>
          <w:rFonts w:hint="default" w:ascii="Times New Roman" w:hAnsi="Times New Roman"/>
          <w:color w:val="auto"/>
          <w:highlight w:val="none"/>
        </w:rPr>
        <w:t>；</w:t>
      </w:r>
    </w:p>
    <w:p w14:paraId="67F911B3">
      <w:pPr>
        <w:pStyle w:val="83"/>
        <w:keepNext w:val="0"/>
        <w:keepLines w:val="0"/>
        <w:pageBreakBefore w:val="0"/>
        <w:widowControl w:val="0"/>
        <w:kinsoku/>
        <w:wordWrap/>
        <w:overflowPunct/>
        <w:topLinePunct w:val="0"/>
        <w:autoSpaceDE/>
        <w:autoSpaceDN/>
        <w:bidi w:val="0"/>
        <w:adjustRightInd/>
        <w:snapToGrid/>
        <w:spacing w:after="40" w:line="360" w:lineRule="exact"/>
        <w:textAlignment w:val="auto"/>
        <w:rPr>
          <w:rStyle w:val="51"/>
          <w:rFonts w:ascii="Times New Roman" w:hAnsi="Times New Roman"/>
          <w:color w:val="auto"/>
          <w:highlight w:val="none"/>
        </w:rPr>
      </w:pPr>
      <w:r>
        <w:rPr>
          <w:rFonts w:hint="default" w:ascii="Times New Roman" w:hAnsi="Times New Roman"/>
          <w:b/>
          <w:color w:val="auto"/>
          <w:highlight w:val="none"/>
        </w:rPr>
        <w:t xml:space="preserve">  </w:t>
      </w:r>
      <w:r>
        <w:rPr>
          <w:rFonts w:ascii="Times New Roman" w:hAnsi="Times New Roman" w:eastAsiaTheme="minorEastAsia"/>
          <w:position w:val="-14"/>
          <w:szCs w:val="21"/>
          <w:highlight w:val="none"/>
        </w:rPr>
        <w:object>
          <v:shape id="_x0000_i1122" o:spt="75" type="#_x0000_t75" style="height:18.45pt;width:15.35pt;" o:ole="t" filled="f" o:preferrelative="t" stroked="f" coordsize="21600,21600">
            <v:path/>
            <v:fill on="f" focussize="0,0"/>
            <v:stroke on="f"/>
            <v:imagedata r:id="rId200" o:title=""/>
            <o:lock v:ext="edit" aspectratio="t"/>
            <w10:wrap type="none"/>
            <w10:anchorlock/>
          </v:shape>
          <o:OLEObject Type="Embed" ProgID="Equation.3" ShapeID="_x0000_i1122" DrawAspect="Content" ObjectID="_1468075822" r:id="rId199">
            <o:LockedField>false</o:LockedField>
          </o:OLEObject>
        </w:object>
      </w:r>
      <w:r>
        <w:rPr>
          <w:rFonts w:ascii="Times New Roman" w:hAnsi="Times New Roman"/>
          <w:color w:val="auto"/>
          <w:highlight w:val="none"/>
        </w:rPr>
        <w:t>——</w:t>
      </w:r>
      <w:r>
        <w:rPr>
          <w:rFonts w:hint="eastAsia" w:ascii="Times New Roman" w:hAnsi="Times New Roman" w:eastAsiaTheme="minorEastAsia"/>
          <w:szCs w:val="21"/>
          <w:highlight w:val="none"/>
          <w:lang w:val="en-US" w:eastAsia="zh-CN"/>
        </w:rPr>
        <w:t>芯桩净截面面积</w:t>
      </w:r>
      <w:r>
        <w:rPr>
          <w:rStyle w:val="51"/>
          <w:rFonts w:ascii="Times New Roman" w:hAnsi="Times New Roman"/>
          <w:color w:val="auto"/>
          <w:highlight w:val="none"/>
        </w:rPr>
        <w:t>（</w:t>
      </w:r>
      <w:r>
        <w:rPr>
          <w:rStyle w:val="51"/>
          <w:rFonts w:hint="eastAsia" w:ascii="Times New Roman" w:hAnsi="Times New Roman"/>
          <w:color w:val="auto"/>
          <w:highlight w:val="none"/>
          <w:lang w:val="en-US" w:eastAsia="zh-CN"/>
        </w:rPr>
        <w:t>m</w:t>
      </w:r>
      <w:r>
        <w:rPr>
          <w:rStyle w:val="51"/>
          <w:rFonts w:ascii="Times New Roman" w:hAnsi="Times New Roman"/>
          <w:color w:val="auto"/>
          <w:highlight w:val="none"/>
        </w:rPr>
        <w:t>m</w:t>
      </w:r>
      <w:r>
        <w:rPr>
          <w:rStyle w:val="51"/>
          <w:rFonts w:ascii="Times New Roman" w:hAnsi="Times New Roman"/>
          <w:color w:val="auto"/>
          <w:highlight w:val="none"/>
          <w:vertAlign w:val="superscript"/>
        </w:rPr>
        <w:t>2</w:t>
      </w:r>
      <w:r>
        <w:rPr>
          <w:rStyle w:val="51"/>
          <w:rFonts w:ascii="Times New Roman" w:hAnsi="Times New Roman"/>
          <w:color w:val="auto"/>
          <w:highlight w:val="none"/>
        </w:rPr>
        <w:t>）。</w:t>
      </w:r>
    </w:p>
    <w:p w14:paraId="4FF3B5D2">
      <w:pPr>
        <w:spacing w:line="360" w:lineRule="auto"/>
        <w:jc w:val="center"/>
        <w:rPr>
          <w:rFonts w:ascii="Times New Roman" w:hAnsi="Times New Roman" w:eastAsia="黑体"/>
          <w:b/>
          <w:sz w:val="18"/>
          <w:szCs w:val="18"/>
          <w:highlight w:val="none"/>
        </w:rPr>
      </w:pPr>
      <w:r>
        <w:rPr>
          <w:rFonts w:hint="default" w:ascii="Times New Roman" w:hAnsi="Times New Roman" w:eastAsia="黑体"/>
          <w:b/>
          <w:sz w:val="18"/>
          <w:szCs w:val="18"/>
          <w:highlight w:val="none"/>
        </w:rPr>
        <w:t>表</w:t>
      </w:r>
      <w:r>
        <w:rPr>
          <w:rFonts w:hint="eastAsia" w:ascii="Times New Roman" w:hAnsi="Times New Roman" w:eastAsia="黑体"/>
          <w:b/>
          <w:sz w:val="18"/>
          <w:szCs w:val="18"/>
          <w:highlight w:val="none"/>
          <w:lang w:eastAsia="zh-CN"/>
        </w:rPr>
        <w:t>4</w:t>
      </w:r>
      <w:r>
        <w:rPr>
          <w:rFonts w:hint="eastAsia" w:ascii="Times New Roman" w:hAnsi="Times New Roman" w:eastAsia="黑体"/>
          <w:b/>
          <w:sz w:val="18"/>
          <w:szCs w:val="18"/>
          <w:highlight w:val="none"/>
          <w:lang w:val="en-US" w:eastAsia="zh-CN"/>
        </w:rPr>
        <w:t>.3.9</w:t>
      </w:r>
      <w:r>
        <w:rPr>
          <w:rFonts w:ascii="Times New Roman" w:hAnsi="Times New Roman" w:eastAsia="黑体"/>
          <w:b/>
          <w:sz w:val="18"/>
          <w:szCs w:val="18"/>
          <w:highlight w:val="none"/>
        </w:rPr>
        <w:t xml:space="preserve"> 超高强预制桩用混凝土性能参数表</w:t>
      </w:r>
    </w:p>
    <w:tbl>
      <w:tblPr>
        <w:tblStyle w:val="48"/>
        <w:tblW w:w="5133"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154"/>
        <w:gridCol w:w="1003"/>
        <w:gridCol w:w="969"/>
        <w:gridCol w:w="999"/>
        <w:gridCol w:w="934"/>
        <w:gridCol w:w="1014"/>
      </w:tblGrid>
      <w:tr w14:paraId="71C5B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950" w:type="pct"/>
            <w:tcBorders>
              <w:tl2br w:val="nil"/>
              <w:tr2bl w:val="nil"/>
            </w:tcBorders>
            <w:shd w:val="clear" w:color="auto" w:fill="auto"/>
            <w:vAlign w:val="center"/>
          </w:tcPr>
          <w:p w14:paraId="76DC747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混凝土强度等级</w:t>
            </w:r>
          </w:p>
        </w:tc>
        <w:tc>
          <w:tcPr>
            <w:tcW w:w="825" w:type="pct"/>
            <w:tcBorders>
              <w:tl2br w:val="nil"/>
              <w:tr2bl w:val="nil"/>
            </w:tcBorders>
            <w:shd w:val="clear" w:color="auto" w:fill="auto"/>
            <w:vAlign w:val="center"/>
          </w:tcPr>
          <w:p w14:paraId="40813DD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f</w:t>
            </w:r>
            <w:r>
              <w:rPr>
                <w:rFonts w:hint="default" w:ascii="Times New Roman" w:hAnsi="Times New Roman" w:cs="Times New Roman"/>
                <w:sz w:val="15"/>
                <w:szCs w:val="15"/>
                <w:highlight w:val="none"/>
                <w:vertAlign w:val="subscript"/>
              </w:rPr>
              <w:t>ck</w:t>
            </w:r>
            <w:r>
              <w:rPr>
                <w:rFonts w:hint="default" w:ascii="Times New Roman" w:hAnsi="Times New Roman" w:cs="Times New Roman"/>
                <w:sz w:val="15"/>
                <w:szCs w:val="15"/>
                <w:highlight w:val="none"/>
              </w:rPr>
              <w:t>（N/mm</w:t>
            </w:r>
            <w:r>
              <w:rPr>
                <w:rFonts w:hint="default" w:ascii="Times New Roman" w:hAnsi="Times New Roman" w:cs="Times New Roman"/>
                <w:sz w:val="15"/>
                <w:szCs w:val="15"/>
                <w:highlight w:val="none"/>
                <w:vertAlign w:val="superscript"/>
              </w:rPr>
              <w:t>2</w:t>
            </w:r>
            <w:r>
              <w:rPr>
                <w:rFonts w:hint="default" w:ascii="Times New Roman" w:hAnsi="Times New Roman" w:cs="Times New Roman"/>
                <w:sz w:val="15"/>
                <w:szCs w:val="15"/>
                <w:highlight w:val="none"/>
              </w:rPr>
              <w:t>）</w:t>
            </w:r>
          </w:p>
        </w:tc>
        <w:tc>
          <w:tcPr>
            <w:tcW w:w="797" w:type="pct"/>
            <w:tcBorders>
              <w:tl2br w:val="nil"/>
              <w:tr2bl w:val="nil"/>
            </w:tcBorders>
            <w:shd w:val="clear" w:color="auto" w:fill="auto"/>
            <w:vAlign w:val="center"/>
          </w:tcPr>
          <w:p w14:paraId="312313F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f</w:t>
            </w:r>
            <w:r>
              <w:rPr>
                <w:rFonts w:hint="default" w:ascii="Times New Roman" w:hAnsi="Times New Roman" w:cs="Times New Roman"/>
                <w:sz w:val="15"/>
                <w:szCs w:val="15"/>
                <w:highlight w:val="none"/>
                <w:vertAlign w:val="subscript"/>
              </w:rPr>
              <w:t>c</w:t>
            </w:r>
            <w:r>
              <w:rPr>
                <w:rFonts w:hint="default" w:ascii="Times New Roman" w:hAnsi="Times New Roman" w:cs="Times New Roman"/>
                <w:sz w:val="15"/>
                <w:szCs w:val="15"/>
                <w:highlight w:val="none"/>
              </w:rPr>
              <w:t>（N/mm</w:t>
            </w:r>
            <w:r>
              <w:rPr>
                <w:rFonts w:hint="default" w:ascii="Times New Roman" w:hAnsi="Times New Roman" w:cs="Times New Roman"/>
                <w:sz w:val="15"/>
                <w:szCs w:val="15"/>
                <w:highlight w:val="none"/>
                <w:vertAlign w:val="superscript"/>
              </w:rPr>
              <w:t>2</w:t>
            </w:r>
            <w:r>
              <w:rPr>
                <w:rFonts w:hint="default" w:ascii="Times New Roman" w:hAnsi="Times New Roman" w:cs="Times New Roman"/>
                <w:sz w:val="15"/>
                <w:szCs w:val="15"/>
                <w:highlight w:val="none"/>
              </w:rPr>
              <w:t>）</w:t>
            </w:r>
          </w:p>
        </w:tc>
        <w:tc>
          <w:tcPr>
            <w:tcW w:w="822" w:type="pct"/>
            <w:tcBorders>
              <w:tl2br w:val="nil"/>
              <w:tr2bl w:val="nil"/>
            </w:tcBorders>
            <w:shd w:val="clear" w:color="auto" w:fill="auto"/>
            <w:vAlign w:val="center"/>
          </w:tcPr>
          <w:p w14:paraId="1176C3A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f</w:t>
            </w:r>
            <w:r>
              <w:rPr>
                <w:rFonts w:hint="default" w:ascii="Times New Roman" w:hAnsi="Times New Roman" w:cs="Times New Roman"/>
                <w:sz w:val="15"/>
                <w:szCs w:val="15"/>
                <w:highlight w:val="none"/>
                <w:vertAlign w:val="subscript"/>
              </w:rPr>
              <w:t>tk</w:t>
            </w:r>
            <w:r>
              <w:rPr>
                <w:rFonts w:hint="default" w:ascii="Times New Roman" w:hAnsi="Times New Roman" w:cs="Times New Roman"/>
                <w:sz w:val="15"/>
                <w:szCs w:val="15"/>
                <w:highlight w:val="none"/>
              </w:rPr>
              <w:t>（N/mm</w:t>
            </w:r>
            <w:r>
              <w:rPr>
                <w:rFonts w:hint="default" w:ascii="Times New Roman" w:hAnsi="Times New Roman" w:cs="Times New Roman"/>
                <w:sz w:val="15"/>
                <w:szCs w:val="15"/>
                <w:highlight w:val="none"/>
                <w:vertAlign w:val="superscript"/>
              </w:rPr>
              <w:t>2</w:t>
            </w:r>
            <w:r>
              <w:rPr>
                <w:rFonts w:hint="default" w:ascii="Times New Roman" w:hAnsi="Times New Roman" w:cs="Times New Roman"/>
                <w:sz w:val="15"/>
                <w:szCs w:val="15"/>
                <w:highlight w:val="none"/>
              </w:rPr>
              <w:t>）</w:t>
            </w:r>
          </w:p>
        </w:tc>
        <w:tc>
          <w:tcPr>
            <w:tcW w:w="768" w:type="pct"/>
            <w:tcBorders>
              <w:tl2br w:val="nil"/>
              <w:tr2bl w:val="nil"/>
            </w:tcBorders>
            <w:shd w:val="clear" w:color="auto" w:fill="auto"/>
            <w:vAlign w:val="center"/>
          </w:tcPr>
          <w:p w14:paraId="0AA8BD49">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f</w:t>
            </w:r>
            <w:r>
              <w:rPr>
                <w:rFonts w:hint="default" w:ascii="Times New Roman" w:hAnsi="Times New Roman" w:cs="Times New Roman"/>
                <w:sz w:val="15"/>
                <w:szCs w:val="15"/>
                <w:highlight w:val="none"/>
                <w:vertAlign w:val="subscript"/>
              </w:rPr>
              <w:t>t</w:t>
            </w:r>
            <w:r>
              <w:rPr>
                <w:rFonts w:hint="default" w:ascii="Times New Roman" w:hAnsi="Times New Roman" w:cs="Times New Roman"/>
                <w:sz w:val="15"/>
                <w:szCs w:val="15"/>
                <w:highlight w:val="none"/>
              </w:rPr>
              <w:t>（N/mm</w:t>
            </w:r>
            <w:r>
              <w:rPr>
                <w:rFonts w:hint="default" w:ascii="Times New Roman" w:hAnsi="Times New Roman" w:cs="Times New Roman"/>
                <w:sz w:val="15"/>
                <w:szCs w:val="15"/>
                <w:highlight w:val="none"/>
                <w:vertAlign w:val="superscript"/>
              </w:rPr>
              <w:t>2</w:t>
            </w:r>
            <w:r>
              <w:rPr>
                <w:rFonts w:hint="default" w:ascii="Times New Roman" w:hAnsi="Times New Roman" w:cs="Times New Roman"/>
                <w:sz w:val="15"/>
                <w:szCs w:val="15"/>
                <w:highlight w:val="none"/>
              </w:rPr>
              <w:t>）</w:t>
            </w:r>
          </w:p>
        </w:tc>
        <w:tc>
          <w:tcPr>
            <w:tcW w:w="834" w:type="pct"/>
            <w:tcBorders>
              <w:tl2br w:val="nil"/>
              <w:tr2bl w:val="nil"/>
            </w:tcBorders>
            <w:shd w:val="clear" w:color="auto" w:fill="auto"/>
            <w:vAlign w:val="center"/>
          </w:tcPr>
          <w:p w14:paraId="0C222A3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E</w:t>
            </w:r>
            <w:r>
              <w:rPr>
                <w:rFonts w:hint="default" w:ascii="Times New Roman" w:hAnsi="Times New Roman" w:cs="Times New Roman"/>
                <w:sz w:val="15"/>
                <w:szCs w:val="15"/>
                <w:highlight w:val="none"/>
                <w:vertAlign w:val="subscript"/>
              </w:rPr>
              <w:t>c</w:t>
            </w:r>
            <w:r>
              <w:rPr>
                <w:rFonts w:hint="default" w:ascii="Times New Roman" w:hAnsi="Times New Roman" w:cs="Times New Roman"/>
                <w:sz w:val="15"/>
                <w:szCs w:val="15"/>
                <w:highlight w:val="none"/>
              </w:rPr>
              <w:t>（N/mm</w:t>
            </w:r>
            <w:r>
              <w:rPr>
                <w:rFonts w:hint="default" w:ascii="Times New Roman" w:hAnsi="Times New Roman" w:cs="Times New Roman"/>
                <w:sz w:val="15"/>
                <w:szCs w:val="15"/>
                <w:highlight w:val="none"/>
                <w:vertAlign w:val="superscript"/>
              </w:rPr>
              <w:t>2</w:t>
            </w:r>
            <w:r>
              <w:rPr>
                <w:rFonts w:hint="default" w:ascii="Times New Roman" w:hAnsi="Times New Roman" w:cs="Times New Roman"/>
                <w:sz w:val="15"/>
                <w:szCs w:val="15"/>
                <w:highlight w:val="none"/>
              </w:rPr>
              <w:t>）</w:t>
            </w:r>
          </w:p>
        </w:tc>
      </w:tr>
      <w:tr w14:paraId="0CFA7D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950" w:type="pct"/>
            <w:tcBorders>
              <w:tl2br w:val="nil"/>
              <w:tr2bl w:val="nil"/>
            </w:tcBorders>
            <w:shd w:val="clear" w:color="auto" w:fill="auto"/>
            <w:vAlign w:val="center"/>
          </w:tcPr>
          <w:p w14:paraId="28F5294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C105</w:t>
            </w:r>
          </w:p>
        </w:tc>
        <w:tc>
          <w:tcPr>
            <w:tcW w:w="825" w:type="pct"/>
            <w:tcBorders>
              <w:tl2br w:val="nil"/>
              <w:tr2bl w:val="nil"/>
            </w:tcBorders>
            <w:shd w:val="clear" w:color="auto" w:fill="auto"/>
            <w:vAlign w:val="center"/>
          </w:tcPr>
          <w:p w14:paraId="2B2027F5">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63.4</w:t>
            </w:r>
          </w:p>
        </w:tc>
        <w:tc>
          <w:tcPr>
            <w:tcW w:w="797" w:type="pct"/>
            <w:tcBorders>
              <w:tl2br w:val="nil"/>
              <w:tr2bl w:val="nil"/>
            </w:tcBorders>
            <w:shd w:val="clear" w:color="auto" w:fill="auto"/>
            <w:vAlign w:val="center"/>
          </w:tcPr>
          <w:p w14:paraId="46E8FE0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45.3</w:t>
            </w:r>
          </w:p>
        </w:tc>
        <w:tc>
          <w:tcPr>
            <w:tcW w:w="822" w:type="pct"/>
            <w:tcBorders>
              <w:tl2br w:val="nil"/>
              <w:tr2bl w:val="nil"/>
            </w:tcBorders>
            <w:shd w:val="clear" w:color="auto" w:fill="auto"/>
            <w:vAlign w:val="center"/>
          </w:tcPr>
          <w:p w14:paraId="7ED416C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3.75</w:t>
            </w:r>
          </w:p>
        </w:tc>
        <w:tc>
          <w:tcPr>
            <w:tcW w:w="768" w:type="pct"/>
            <w:tcBorders>
              <w:tl2br w:val="nil"/>
              <w:tr2bl w:val="nil"/>
            </w:tcBorders>
            <w:shd w:val="clear" w:color="auto" w:fill="auto"/>
            <w:vAlign w:val="center"/>
          </w:tcPr>
          <w:p w14:paraId="3CF1BE88">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2.68</w:t>
            </w:r>
          </w:p>
        </w:tc>
        <w:tc>
          <w:tcPr>
            <w:tcW w:w="834" w:type="pct"/>
            <w:tcBorders>
              <w:tl2br w:val="nil"/>
              <w:tr2bl w:val="nil"/>
            </w:tcBorders>
            <w:shd w:val="clear" w:color="auto" w:fill="auto"/>
            <w:vAlign w:val="center"/>
          </w:tcPr>
          <w:p w14:paraId="7C9E9E6F">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3.95×10</w:t>
            </w:r>
            <w:r>
              <w:rPr>
                <w:rFonts w:hint="default" w:ascii="Times New Roman" w:hAnsi="Times New Roman" w:cs="Times New Roman"/>
                <w:sz w:val="15"/>
                <w:szCs w:val="15"/>
                <w:highlight w:val="none"/>
                <w:vertAlign w:val="superscript"/>
              </w:rPr>
              <w:t>4</w:t>
            </w:r>
          </w:p>
        </w:tc>
      </w:tr>
      <w:tr w14:paraId="496E61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950" w:type="pct"/>
            <w:tcBorders>
              <w:tl2br w:val="nil"/>
              <w:tr2bl w:val="nil"/>
            </w:tcBorders>
            <w:shd w:val="clear" w:color="auto" w:fill="auto"/>
            <w:vAlign w:val="center"/>
          </w:tcPr>
          <w:p w14:paraId="41EE216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C125</w:t>
            </w:r>
          </w:p>
        </w:tc>
        <w:tc>
          <w:tcPr>
            <w:tcW w:w="825" w:type="pct"/>
            <w:tcBorders>
              <w:tl2br w:val="nil"/>
              <w:tr2bl w:val="nil"/>
            </w:tcBorders>
            <w:shd w:val="clear" w:color="auto" w:fill="auto"/>
            <w:vAlign w:val="center"/>
          </w:tcPr>
          <w:p w14:paraId="40DE26FB">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72.4</w:t>
            </w:r>
          </w:p>
        </w:tc>
        <w:tc>
          <w:tcPr>
            <w:tcW w:w="797" w:type="pct"/>
            <w:tcBorders>
              <w:tl2br w:val="nil"/>
              <w:tr2bl w:val="nil"/>
            </w:tcBorders>
            <w:shd w:val="clear" w:color="auto" w:fill="auto"/>
            <w:vAlign w:val="center"/>
          </w:tcPr>
          <w:p w14:paraId="1E8790E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51.7</w:t>
            </w:r>
          </w:p>
        </w:tc>
        <w:tc>
          <w:tcPr>
            <w:tcW w:w="822" w:type="pct"/>
            <w:tcBorders>
              <w:tl2br w:val="nil"/>
              <w:tr2bl w:val="nil"/>
            </w:tcBorders>
            <w:shd w:val="clear" w:color="auto" w:fill="auto"/>
            <w:vAlign w:val="center"/>
          </w:tcPr>
          <w:p w14:paraId="76AD2D58">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4.46</w:t>
            </w:r>
          </w:p>
        </w:tc>
        <w:tc>
          <w:tcPr>
            <w:tcW w:w="768" w:type="pct"/>
            <w:tcBorders>
              <w:tl2br w:val="nil"/>
              <w:tr2bl w:val="nil"/>
            </w:tcBorders>
            <w:shd w:val="clear" w:color="auto" w:fill="auto"/>
            <w:vAlign w:val="center"/>
          </w:tcPr>
          <w:p w14:paraId="06557E0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3.19</w:t>
            </w:r>
          </w:p>
        </w:tc>
        <w:tc>
          <w:tcPr>
            <w:tcW w:w="834" w:type="pct"/>
            <w:tcBorders>
              <w:tl2br w:val="nil"/>
              <w:tr2bl w:val="nil"/>
            </w:tcBorders>
            <w:shd w:val="clear" w:color="auto" w:fill="auto"/>
            <w:vAlign w:val="center"/>
          </w:tcPr>
          <w:p w14:paraId="6E142A6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4.04×10</w:t>
            </w:r>
            <w:r>
              <w:rPr>
                <w:rFonts w:hint="default" w:ascii="Times New Roman" w:hAnsi="Times New Roman" w:cs="Times New Roman"/>
                <w:sz w:val="15"/>
                <w:szCs w:val="15"/>
                <w:highlight w:val="none"/>
                <w:vertAlign w:val="superscript"/>
              </w:rPr>
              <w:t>4</w:t>
            </w:r>
          </w:p>
        </w:tc>
      </w:tr>
    </w:tbl>
    <w:p w14:paraId="0EC288D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eastAsiaTheme="minorEastAsia"/>
          <w:bCs/>
          <w:szCs w:val="21"/>
          <w:highlight w:val="none"/>
          <w:lang w:val="en-US" w:eastAsia="zh-CN"/>
        </w:rPr>
      </w:pPr>
      <w:r>
        <w:rPr>
          <w:rFonts w:hint="default"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.3.</w:t>
      </w:r>
      <w:r>
        <w:rPr>
          <w:rFonts w:hint="eastAsia" w:ascii="Times New Roman" w:hAnsi="Times New Roman" w:eastAsia="黑体"/>
          <w:b/>
          <w:bCs/>
          <w:kern w:val="0"/>
          <w:szCs w:val="21"/>
          <w:highlight w:val="none"/>
          <w:lang w:val="en-US" w:eastAsia="zh-CN"/>
        </w:rPr>
        <w:t>10</w:t>
      </w:r>
      <w:r>
        <w:rPr>
          <w:rFonts w:hint="eastAsia" w:ascii="Times New Roman" w:hAnsi="Times New Roman" w:eastAsia="黑体"/>
          <w:kern w:val="0"/>
          <w:szCs w:val="21"/>
          <w:highlight w:val="none"/>
          <w:lang w:val="en-US" w:eastAsia="zh-CN"/>
        </w:rPr>
        <w:t xml:space="preserve"> </w:t>
      </w:r>
      <w:r>
        <w:rPr>
          <w:rFonts w:hint="eastAsia" w:ascii="Times New Roman" w:hAnsi="Times New Roman" w:cs="Times New Roman"/>
          <w:bCs/>
          <w:szCs w:val="21"/>
          <w:highlight w:val="none"/>
          <w:lang w:val="en-US" w:eastAsia="zh-CN"/>
        </w:rPr>
        <w:t>预制桩植桩的</w:t>
      </w:r>
      <w:r>
        <w:rPr>
          <w:rFonts w:hint="eastAsia" w:ascii="Times New Roman" w:hAnsi="Times New Roman" w:cs="Times New Roman"/>
          <w:bCs/>
          <w:szCs w:val="21"/>
          <w:highlight w:val="none"/>
        </w:rPr>
        <w:t>单桩水平承载力特征值按下列情况确定：</w:t>
      </w:r>
    </w:p>
    <w:p w14:paraId="00995D41">
      <w:pPr>
        <w:keepNext w:val="0"/>
        <w:keepLines w:val="0"/>
        <w:pageBreakBefore w:val="0"/>
        <w:widowControl w:val="0"/>
        <w:kinsoku/>
        <w:wordWrap/>
        <w:overflowPunct/>
        <w:topLinePunct w:val="0"/>
        <w:autoSpaceDE/>
        <w:autoSpaceDN/>
        <w:bidi w:val="0"/>
        <w:adjustRightInd/>
        <w:snapToGrid w:val="0"/>
        <w:spacing w:line="240" w:lineRule="auto"/>
        <w:ind w:firstLine="422" w:firstLineChars="200"/>
        <w:contextualSpacing/>
        <w:textAlignment w:val="auto"/>
        <w:rPr>
          <w:rFonts w:hint="eastAsia" w:ascii="Times New Roman" w:hAnsi="Times New Roman" w:eastAsia="宋体" w:cs="Times New Roman"/>
          <w:szCs w:val="21"/>
          <w:highlight w:val="none"/>
          <w:lang w:eastAsia="zh-CN"/>
        </w:rPr>
      </w:pPr>
      <w:r>
        <w:rPr>
          <w:rFonts w:hint="default" w:ascii="Times New Roman" w:hAnsi="Times New Roman" w:eastAsia="黑体"/>
          <w:b/>
          <w:bCs/>
          <w:kern w:val="0"/>
          <w:szCs w:val="21"/>
          <w:highlight w:val="none"/>
        </w:rPr>
        <w:t>1</w:t>
      </w:r>
      <w:r>
        <w:rPr>
          <w:rFonts w:ascii="Times New Roman" w:hAnsi="Times New Roman" w:cs="Times New Roman"/>
          <w:b/>
          <w:szCs w:val="21"/>
          <w:highlight w:val="none"/>
        </w:rPr>
        <w:t xml:space="preserve"> </w:t>
      </w:r>
      <w:r>
        <w:rPr>
          <w:rFonts w:ascii="Times New Roman" w:hAnsi="Times New Roman" w:cs="Times New Roman"/>
          <w:szCs w:val="21"/>
          <w:highlight w:val="none"/>
        </w:rPr>
        <w:t>应通过单桩水平静荷载试验确定</w:t>
      </w:r>
      <w:r>
        <w:rPr>
          <w:rFonts w:hint="eastAsia" w:ascii="Times New Roman" w:hAnsi="Times New Roman" w:cs="Times New Roman"/>
          <w:szCs w:val="21"/>
          <w:highlight w:val="none"/>
        </w:rPr>
        <w:t>，</w:t>
      </w:r>
      <w:r>
        <w:rPr>
          <w:rFonts w:ascii="Times New Roman" w:hAnsi="Times New Roman" w:cs="Times New Roman"/>
          <w:szCs w:val="21"/>
          <w:highlight w:val="none"/>
        </w:rPr>
        <w:t>必要时可通过带承台桩的荷载试验确定</w:t>
      </w:r>
      <w:r>
        <w:rPr>
          <w:rFonts w:hint="eastAsia" w:ascii="Times New Roman" w:hAnsi="Times New Roman" w:cs="Times New Roman"/>
          <w:szCs w:val="21"/>
          <w:highlight w:val="none"/>
          <w:lang w:eastAsia="zh-CN"/>
        </w:rPr>
        <w:t>；</w:t>
      </w:r>
    </w:p>
    <w:p w14:paraId="560F347B">
      <w:pPr>
        <w:keepNext w:val="0"/>
        <w:keepLines w:val="0"/>
        <w:pageBreakBefore w:val="0"/>
        <w:widowControl w:val="0"/>
        <w:kinsoku/>
        <w:wordWrap/>
        <w:overflowPunct/>
        <w:topLinePunct w:val="0"/>
        <w:autoSpaceDE/>
        <w:autoSpaceDN/>
        <w:bidi w:val="0"/>
        <w:adjustRightInd/>
        <w:snapToGrid w:val="0"/>
        <w:spacing w:line="240" w:lineRule="auto"/>
        <w:ind w:firstLine="422" w:firstLineChars="200"/>
        <w:contextualSpacing/>
        <w:textAlignment w:val="auto"/>
        <w:rPr>
          <w:rFonts w:ascii="Times New Roman" w:hAnsi="Times New Roman" w:cs="Times New Roman"/>
          <w:szCs w:val="21"/>
          <w:highlight w:val="none"/>
        </w:rPr>
      </w:pPr>
      <w:r>
        <w:rPr>
          <w:rFonts w:hint="default" w:ascii="Times New Roman" w:hAnsi="Times New Roman" w:eastAsia="黑体"/>
          <w:b/>
          <w:bCs/>
          <w:kern w:val="0"/>
          <w:szCs w:val="21"/>
          <w:highlight w:val="none"/>
        </w:rPr>
        <w:t>2</w:t>
      </w:r>
      <w:r>
        <w:rPr>
          <w:rFonts w:ascii="Times New Roman" w:hAnsi="Times New Roman" w:cs="Times New Roman"/>
          <w:szCs w:val="21"/>
          <w:highlight w:val="none"/>
        </w:rPr>
        <w:t xml:space="preserve"> 初步设计时</w:t>
      </w:r>
      <w:r>
        <w:rPr>
          <w:rFonts w:hint="eastAsia" w:ascii="Times New Roman" w:hAnsi="Times New Roman" w:cs="Times New Roman"/>
          <w:szCs w:val="21"/>
          <w:highlight w:val="none"/>
        </w:rPr>
        <w:t>，</w:t>
      </w:r>
      <w:r>
        <w:rPr>
          <w:rFonts w:ascii="Times New Roman" w:hAnsi="Times New Roman" w:cs="Times New Roman"/>
          <w:szCs w:val="21"/>
          <w:highlight w:val="none"/>
        </w:rPr>
        <w:t>可按下式进行估算：</w:t>
      </w:r>
    </w:p>
    <w:p w14:paraId="23A2D563">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right"/>
        <w:textAlignment w:val="auto"/>
        <w:rPr>
          <w:rFonts w:ascii="Times New Roman" w:hAnsi="Times New Roman" w:eastAsia="宋体" w:cs="Times New Roman"/>
          <w:bCs/>
          <w:szCs w:val="21"/>
          <w:highlight w:val="none"/>
        </w:rPr>
      </w:pPr>
      <w:r>
        <w:rPr>
          <w:rFonts w:ascii="Times New Roman" w:hAnsi="Times New Roman" w:eastAsiaTheme="minorEastAsia"/>
          <w:position w:val="-30"/>
          <w:szCs w:val="21"/>
          <w:highlight w:val="none"/>
        </w:rPr>
        <w:object>
          <v:shape id="_x0000_i1123" o:spt="75" type="#_x0000_t75" style="height:35pt;width:104.35pt;" o:ole="t" filled="f" o:preferrelative="t" stroked="f" coordsize="21600,21600">
            <v:path/>
            <v:fill on="f" focussize="0,0"/>
            <v:stroke on="f"/>
            <v:imagedata r:id="rId202" o:title=""/>
            <o:lock v:ext="edit" aspectratio="t"/>
            <w10:wrap type="none"/>
            <w10:anchorlock/>
          </v:shape>
          <o:OLEObject Type="Embed" ProgID="Equation.3" ShapeID="_x0000_i1123" DrawAspect="Content" ObjectID="_1468075823" r:id="rId201">
            <o:LockedField>false</o:LockedField>
          </o:OLEObject>
        </w:object>
      </w:r>
      <w:r>
        <w:rPr>
          <w:rFonts w:hint="default" w:ascii="Times New Roman" w:hAnsi="Times New Roman" w:cs="Times New Roman"/>
          <w:bCs/>
          <w:i w:val="0"/>
          <w:szCs w:val="21"/>
          <w:highlight w:val="none"/>
          <w:lang w:val="en-US" w:eastAsia="zh-CN"/>
        </w:rPr>
        <w:t xml:space="preserve">    </w:t>
      </w:r>
      <w:r>
        <w:rPr>
          <w:rFonts w:hint="eastAsia" w:ascii="Times New Roman" w:hAnsi="Times New Roman" w:cs="Times New Roman"/>
          <w:bCs/>
          <w:i w:val="0"/>
          <w:szCs w:val="21"/>
          <w:highlight w:val="none"/>
          <w:lang w:val="en-US" w:eastAsia="zh-CN"/>
        </w:rPr>
        <w:t xml:space="preserve">     </w:t>
      </w:r>
      <w:r>
        <w:rPr>
          <w:rFonts w:hint="default" w:ascii="Times New Roman" w:hAnsi="Times New Roman" w:cs="Times New Roman"/>
          <w:bCs/>
          <w:i w:val="0"/>
          <w:szCs w:val="21"/>
          <w:highlight w:val="none"/>
          <w:lang w:val="en-US" w:eastAsia="zh-CN"/>
        </w:rPr>
        <w:t xml:space="preserve"> </w:t>
      </w:r>
      <w:r>
        <w:rPr>
          <w:rFonts w:ascii="Times New Roman" w:hAnsi="Times New Roman" w:eastAsia="宋体" w:cs="Times New Roman"/>
          <w:bCs/>
          <w:szCs w:val="21"/>
          <w:highlight w:val="none"/>
        </w:rPr>
        <w:t>(</w:t>
      </w:r>
      <w:r>
        <w:rPr>
          <w:rFonts w:hint="eastAsia" w:ascii="Times New Roman" w:hAnsi="Times New Roman" w:eastAsia="宋体" w:cs="Times New Roman"/>
          <w:bCs/>
          <w:szCs w:val="21"/>
          <w:highlight w:val="none"/>
        </w:rPr>
        <w:t>4.</w:t>
      </w:r>
      <w:r>
        <w:rPr>
          <w:rFonts w:hint="eastAsia" w:ascii="Times New Roman" w:hAnsi="Times New Roman" w:cs="Times New Roman"/>
          <w:bCs/>
          <w:szCs w:val="21"/>
          <w:highlight w:val="none"/>
          <w:lang w:val="en-US" w:eastAsia="zh-CN"/>
        </w:rPr>
        <w:t>3</w:t>
      </w:r>
      <w:r>
        <w:rPr>
          <w:rFonts w:hint="eastAsia" w:ascii="Times New Roman" w:hAnsi="Times New Roman" w:eastAsia="宋体" w:cs="Times New Roman"/>
          <w:bCs/>
          <w:szCs w:val="21"/>
          <w:highlight w:val="none"/>
        </w:rPr>
        <w:t>.</w:t>
      </w:r>
      <w:r>
        <w:rPr>
          <w:rFonts w:hint="eastAsia" w:ascii="Times New Roman" w:hAnsi="Times New Roman" w:cs="Times New Roman"/>
          <w:bCs/>
          <w:szCs w:val="21"/>
          <w:highlight w:val="none"/>
          <w:lang w:val="en-US" w:eastAsia="zh-CN"/>
        </w:rPr>
        <w:t>10</w:t>
      </w:r>
      <w:r>
        <w:rPr>
          <w:rFonts w:ascii="Times New Roman" w:hAnsi="Times New Roman" w:eastAsia="宋体" w:cs="Times New Roman"/>
          <w:bCs/>
          <w:szCs w:val="21"/>
          <w:highlight w:val="none"/>
        </w:rPr>
        <w:t>-1)</w:t>
      </w:r>
      <w:r>
        <w:rPr>
          <w:rFonts w:hint="default" w:ascii="Times New Roman" w:hAnsi="Times New Roman" w:cs="Times New Roman"/>
          <w:bCs/>
          <w:i w:val="0"/>
          <w:szCs w:val="21"/>
          <w:highlight w:val="none"/>
          <w:lang w:val="en-US" w:eastAsia="zh-CN"/>
        </w:rPr>
        <w:t xml:space="preserve">       </w:t>
      </w:r>
      <w:r>
        <w:rPr>
          <w:rFonts w:ascii="Times New Roman" w:hAnsi="Times New Roman" w:eastAsia="宋体" w:cs="Times New Roman"/>
          <w:bCs/>
          <w:szCs w:val="21"/>
          <w:highlight w:val="none"/>
        </w:rPr>
        <w:t xml:space="preserve">     </w:t>
      </w:r>
      <w:r>
        <w:rPr>
          <w:rFonts w:hint="eastAsia" w:ascii="Times New Roman" w:hAnsi="Times New Roman" w:cs="Times New Roman"/>
          <w:bCs/>
          <w:szCs w:val="21"/>
          <w:highlight w:val="none"/>
          <w:lang w:val="en-US" w:eastAsia="zh-CN"/>
        </w:rPr>
        <w:t xml:space="preserve"> </w:t>
      </w:r>
      <w:r>
        <w:rPr>
          <w:rFonts w:ascii="Times New Roman" w:hAnsi="Times New Roman" w:eastAsia="宋体" w:cs="Times New Roman"/>
          <w:bCs/>
          <w:szCs w:val="21"/>
          <w:highlight w:val="none"/>
        </w:rPr>
        <w:t xml:space="preserve">    </w:t>
      </w:r>
      <w:r>
        <w:rPr>
          <w:rFonts w:hint="eastAsia" w:ascii="Times New Roman" w:hAnsi="Times New Roman" w:cs="Times New Roman"/>
          <w:bCs/>
          <w:szCs w:val="21"/>
          <w:highlight w:val="none"/>
          <w:lang w:val="en-US" w:eastAsia="zh-CN"/>
        </w:rPr>
        <w:t xml:space="preserve">  </w:t>
      </w:r>
      <w:r>
        <w:rPr>
          <w:rFonts w:ascii="Times New Roman" w:hAnsi="Times New Roman" w:eastAsia="宋体" w:cs="Times New Roman"/>
          <w:bCs/>
          <w:szCs w:val="21"/>
          <w:highlight w:val="none"/>
        </w:rPr>
        <w:t xml:space="preserve"> </w:t>
      </w:r>
      <w:r>
        <w:rPr>
          <w:rFonts w:hint="eastAsia" w:ascii="Times New Roman" w:hAnsi="Times New Roman" w:eastAsia="宋体" w:cs="Times New Roman"/>
          <w:bCs/>
          <w:szCs w:val="21"/>
          <w:highlight w:val="none"/>
        </w:rPr>
        <w:t xml:space="preserve"> </w:t>
      </w:r>
      <w:r>
        <w:rPr>
          <w:rFonts w:ascii="Times New Roman" w:hAnsi="Times New Roman" w:eastAsia="宋体" w:cs="Times New Roman"/>
          <w:bCs/>
          <w:szCs w:val="21"/>
          <w:highlight w:val="none"/>
        </w:rPr>
        <w:t xml:space="preserve">  </w:t>
      </w:r>
    </w:p>
    <w:p w14:paraId="557CC1EC">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left="210" w:leftChars="100" w:firstLine="1680" w:firstLineChars="800"/>
        <w:jc w:val="right"/>
        <w:textAlignment w:val="auto"/>
        <w:rPr>
          <w:rFonts w:ascii="Times New Roman" w:hAnsi="Times New Roman" w:eastAsia="宋体" w:cs="Times New Roman"/>
          <w:bCs/>
          <w:szCs w:val="21"/>
          <w:highlight w:val="none"/>
        </w:rPr>
      </w:pPr>
      <w:r>
        <w:rPr>
          <w:rFonts w:ascii="Times New Roman" w:hAnsi="Times New Roman" w:eastAsiaTheme="minorEastAsia"/>
          <w:position w:val="-26"/>
          <w:szCs w:val="21"/>
          <w:highlight w:val="none"/>
        </w:rPr>
        <w:object>
          <v:shape id="_x0000_i1124" o:spt="75" type="#_x0000_t75" style="height:34.05pt;width:55.2pt;" o:ole="t" filled="f" o:preferrelative="t" stroked="f" coordsize="21600,21600">
            <v:path/>
            <v:fill on="f" focussize="0,0"/>
            <v:stroke on="f"/>
            <v:imagedata r:id="rId204" o:title=""/>
            <o:lock v:ext="edit" aspectratio="t"/>
            <w10:wrap type="none"/>
            <w10:anchorlock/>
          </v:shape>
          <o:OLEObject Type="Embed" ProgID="Equation.3" ShapeID="_x0000_i1124" DrawAspect="Content" ObjectID="_1468075824" r:id="rId203">
            <o:LockedField>false</o:LockedField>
          </o:OLEObject>
        </w:object>
      </w:r>
      <w:r>
        <w:rPr>
          <w:rFonts w:ascii="Times New Roman" w:hAnsi="Times New Roman" w:eastAsia="宋体" w:cs="Times New Roman"/>
          <w:bCs/>
          <w:szCs w:val="21"/>
          <w:highlight w:val="none"/>
        </w:rPr>
        <w:t xml:space="preserve">     </w:t>
      </w:r>
      <w:r>
        <w:rPr>
          <w:rFonts w:hint="eastAsia" w:ascii="Times New Roman" w:hAnsi="Times New Roman" w:cs="Times New Roman"/>
          <w:bCs/>
          <w:szCs w:val="21"/>
          <w:highlight w:val="none"/>
          <w:lang w:val="en-US" w:eastAsia="zh-CN"/>
        </w:rPr>
        <w:t xml:space="preserve"> </w:t>
      </w:r>
      <w:r>
        <w:rPr>
          <w:rFonts w:ascii="Times New Roman" w:hAnsi="Times New Roman" w:eastAsia="宋体" w:cs="Times New Roman"/>
          <w:bCs/>
          <w:szCs w:val="21"/>
          <w:highlight w:val="none"/>
        </w:rPr>
        <w:t xml:space="preserve">        </w:t>
      </w:r>
      <w:r>
        <w:rPr>
          <w:rFonts w:hint="eastAsia" w:ascii="Times New Roman" w:hAnsi="Times New Roman" w:eastAsia="宋体" w:cs="Times New Roman"/>
          <w:bCs/>
          <w:szCs w:val="21"/>
          <w:highlight w:val="none"/>
        </w:rPr>
        <w:t>(</w:t>
      </w:r>
      <w:r>
        <w:rPr>
          <w:rFonts w:ascii="Times New Roman" w:hAnsi="Times New Roman" w:eastAsia="宋体" w:cs="Times New Roman"/>
          <w:bCs/>
          <w:szCs w:val="21"/>
          <w:highlight w:val="none"/>
        </w:rPr>
        <w:t>4.</w:t>
      </w:r>
      <w:r>
        <w:rPr>
          <w:rFonts w:hint="eastAsia" w:ascii="Times New Roman" w:hAnsi="Times New Roman" w:cs="Times New Roman"/>
          <w:bCs/>
          <w:szCs w:val="21"/>
          <w:highlight w:val="none"/>
          <w:lang w:val="en-US" w:eastAsia="zh-CN"/>
        </w:rPr>
        <w:t>3</w:t>
      </w:r>
      <w:r>
        <w:rPr>
          <w:rFonts w:ascii="Times New Roman" w:hAnsi="Times New Roman" w:eastAsia="宋体" w:cs="Times New Roman"/>
          <w:bCs/>
          <w:szCs w:val="21"/>
          <w:highlight w:val="none"/>
        </w:rPr>
        <w:t>.</w:t>
      </w:r>
      <w:r>
        <w:rPr>
          <w:rFonts w:hint="eastAsia" w:ascii="Times New Roman" w:hAnsi="Times New Roman" w:cs="Times New Roman"/>
          <w:bCs/>
          <w:szCs w:val="21"/>
          <w:highlight w:val="none"/>
          <w:lang w:val="en-US" w:eastAsia="zh-CN"/>
        </w:rPr>
        <w:t>10</w:t>
      </w:r>
      <w:r>
        <w:rPr>
          <w:rFonts w:ascii="Times New Roman" w:hAnsi="Times New Roman" w:eastAsia="宋体" w:cs="Times New Roman"/>
          <w:bCs/>
          <w:szCs w:val="21"/>
          <w:highlight w:val="none"/>
        </w:rPr>
        <w:t>-2)</w:t>
      </w:r>
    </w:p>
    <w:p w14:paraId="137C2E92">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zCs w:val="21"/>
          <w:highlight w:val="none"/>
        </w:rPr>
      </w:pPr>
      <w:r>
        <w:rPr>
          <w:rStyle w:val="85"/>
          <w:rFonts w:ascii="Times New Roman" w:hAnsi="Times New Roman"/>
          <w:color w:val="auto"/>
          <w:highlight w:val="none"/>
        </w:rPr>
        <w:t>式中</w:t>
      </w:r>
      <w:r>
        <w:rPr>
          <w:rFonts w:hint="eastAsia" w:ascii="Times New Roman" w:hAnsi="Times New Roman" w:cs="Times New Roman"/>
          <w:bCs/>
          <w:szCs w:val="21"/>
          <w:highlight w:val="none"/>
          <w:lang w:eastAsia="zh-CN"/>
        </w:rPr>
        <w:t>：</w:t>
      </w:r>
      <w:r>
        <w:rPr>
          <w:rFonts w:ascii="Times New Roman" w:hAnsi="Times New Roman" w:eastAsiaTheme="minorEastAsia"/>
          <w:position w:val="-6"/>
          <w:szCs w:val="21"/>
          <w:highlight w:val="none"/>
        </w:rPr>
        <w:object>
          <v:shape id="_x0000_i1125" o:spt="75" type="#_x0000_t75" style="height:10.7pt;width:12.3pt;" o:ole="t" filled="f" o:preferrelative="t" stroked="f" coordsize="21600,21600">
            <v:path/>
            <v:fill on="f" focussize="0,0"/>
            <v:stroke on="f"/>
            <v:imagedata r:id="rId206" o:title=""/>
            <o:lock v:ext="edit" aspectratio="t"/>
            <w10:wrap type="none"/>
            <w10:anchorlock/>
          </v:shape>
          <o:OLEObject Type="Embed" ProgID="Equation.3" ShapeID="_x0000_i1125" DrawAspect="Content" ObjectID="_1468075825" r:id="rId205">
            <o:LockedField>false</o:LockedField>
          </o:OLEObject>
        </w:object>
      </w:r>
      <w:r>
        <w:rPr>
          <w:rFonts w:ascii="Times New Roman" w:hAnsi="Times New Roman" w:eastAsia="宋体" w:cs="Times New Roman"/>
          <w:bCs/>
          <w:szCs w:val="21"/>
          <w:highlight w:val="none"/>
        </w:rPr>
        <w:t>——桩的水平变形系数(1/m)；</w:t>
      </w:r>
    </w:p>
    <w:p w14:paraId="75FE7438">
      <w:pPr>
        <w:keepNext w:val="0"/>
        <w:keepLines w:val="0"/>
        <w:pageBreakBefore w:val="0"/>
        <w:widowControl w:val="0"/>
        <w:kinsoku/>
        <w:wordWrap/>
        <w:overflowPunct/>
        <w:topLinePunct w:val="0"/>
        <w:autoSpaceDE/>
        <w:autoSpaceDN/>
        <w:bidi w:val="0"/>
        <w:adjustRightInd/>
        <w:snapToGrid w:val="0"/>
        <w:spacing w:line="240" w:lineRule="auto"/>
        <w:ind w:left="1260" w:leftChars="300" w:hanging="630" w:hangingChars="300"/>
        <w:textAlignment w:val="auto"/>
        <w:rPr>
          <w:rFonts w:hint="eastAsia" w:ascii="Times New Roman" w:hAnsi="Times New Roman" w:eastAsia="宋体" w:cs="Times New Roman"/>
          <w:bCs/>
          <w:szCs w:val="21"/>
          <w:highlight w:val="none"/>
          <w:lang w:eastAsia="zh-CN"/>
        </w:rPr>
      </w:pPr>
      <w:r>
        <w:rPr>
          <w:rFonts w:ascii="Times New Roman" w:hAnsi="Times New Roman" w:eastAsiaTheme="minorEastAsia"/>
          <w:position w:val="-6"/>
          <w:szCs w:val="21"/>
          <w:highlight w:val="none"/>
        </w:rPr>
        <w:object>
          <v:shape id="_x0000_i1126" o:spt="75" type="#_x0000_t75" style="height:10.7pt;width:13.3pt;" o:ole="t" filled="f" o:preferrelative="t" stroked="f" coordsize="21600,21600">
            <v:path/>
            <v:fill on="f" focussize="0,0"/>
            <v:stroke on="f"/>
            <v:imagedata r:id="rId208" o:title=""/>
            <o:lock v:ext="edit" aspectratio="t"/>
            <w10:wrap type="none"/>
            <w10:anchorlock/>
          </v:shape>
          <o:OLEObject Type="Embed" ProgID="Equation.3" ShapeID="_x0000_i1126" DrawAspect="Content" ObjectID="_1468075826" r:id="rId207">
            <o:LockedField>false</o:LockedField>
          </o:OLEObject>
        </w:object>
      </w:r>
      <w:r>
        <w:rPr>
          <w:rFonts w:ascii="Times New Roman" w:hAnsi="Times New Roman" w:eastAsia="宋体" w:cs="Times New Roman"/>
          <w:bCs/>
          <w:szCs w:val="21"/>
          <w:highlight w:val="none"/>
        </w:rPr>
        <w:t>——桩</w:t>
      </w:r>
      <w:r>
        <w:rPr>
          <w:rFonts w:hint="eastAsia" w:ascii="Times New Roman" w:hAnsi="Times New Roman" w:eastAsia="宋体" w:cs="Times New Roman"/>
          <w:bCs/>
          <w:szCs w:val="21"/>
          <w:highlight w:val="none"/>
        </w:rPr>
        <w:t>侧土水平抗力系数的比例系数</w:t>
      </w:r>
      <w:r>
        <w:rPr>
          <w:rFonts w:ascii="Times New Roman" w:hAnsi="Times New Roman" w:eastAsia="宋体" w:cs="Times New Roman"/>
          <w:bCs/>
          <w:szCs w:val="21"/>
          <w:highlight w:val="none"/>
        </w:rPr>
        <w:t>；</w:t>
      </w:r>
      <w:r>
        <w:rPr>
          <w:rFonts w:hint="eastAsia" w:ascii="Times New Roman" w:hAnsi="Times New Roman" w:eastAsia="宋体" w:cs="Times New Roman"/>
          <w:bCs/>
          <w:szCs w:val="21"/>
          <w:highlight w:val="none"/>
        </w:rPr>
        <w:t>宜通过单桩水平静载试验确定，当无静载试验资料时，可</w:t>
      </w:r>
      <w:r>
        <w:rPr>
          <w:rFonts w:hint="eastAsia" w:ascii="Times New Roman" w:hAnsi="Times New Roman" w:cs="Times New Roman"/>
          <w:strike w:val="0"/>
          <w:dstrike w:val="0"/>
          <w:szCs w:val="21"/>
          <w:highlight w:val="none"/>
          <w:lang w:val="en-US" w:eastAsia="zh-CN"/>
        </w:rPr>
        <w:t>按现行行业标准</w:t>
      </w:r>
      <w:r>
        <w:rPr>
          <w:rFonts w:hint="eastAsia" w:ascii="Times New Roman" w:hAnsi="Times New Roman" w:eastAsia="宋体" w:cs="Times New Roman"/>
          <w:bCs/>
          <w:strike w:val="0"/>
          <w:dstrike w:val="0"/>
          <w:szCs w:val="21"/>
          <w:highlight w:val="none"/>
        </w:rPr>
        <w:t>《建筑桩基技术规范》J</w:t>
      </w:r>
      <w:r>
        <w:rPr>
          <w:rFonts w:ascii="Times New Roman" w:hAnsi="Times New Roman" w:eastAsia="宋体" w:cs="Times New Roman"/>
          <w:bCs/>
          <w:strike w:val="0"/>
          <w:dstrike w:val="0"/>
          <w:szCs w:val="21"/>
          <w:highlight w:val="none"/>
        </w:rPr>
        <w:t>GJ</w:t>
      </w:r>
      <w:r>
        <w:rPr>
          <w:rFonts w:hint="eastAsia" w:ascii="Times New Roman" w:hAnsi="Times New Roman" w:cs="Times New Roman"/>
          <w:bCs/>
          <w:strike w:val="0"/>
          <w:dstrike w:val="0"/>
          <w:szCs w:val="21"/>
          <w:highlight w:val="none"/>
          <w:lang w:val="en-US" w:eastAsia="zh-CN"/>
        </w:rPr>
        <w:t xml:space="preserve"> </w:t>
      </w:r>
      <w:r>
        <w:rPr>
          <w:rFonts w:ascii="Times New Roman" w:hAnsi="Times New Roman" w:eastAsia="宋体" w:cs="Times New Roman"/>
          <w:bCs/>
          <w:strike w:val="0"/>
          <w:dstrike w:val="0"/>
          <w:szCs w:val="21"/>
          <w:highlight w:val="none"/>
        </w:rPr>
        <w:t>94</w:t>
      </w:r>
      <w:r>
        <w:rPr>
          <w:rFonts w:hint="eastAsia" w:ascii="Times New Roman" w:hAnsi="Times New Roman" w:cs="Times New Roman"/>
          <w:bCs/>
          <w:strike w:val="0"/>
          <w:dstrike w:val="0"/>
          <w:szCs w:val="21"/>
          <w:highlight w:val="none"/>
          <w:lang w:val="en-US" w:eastAsia="zh-CN"/>
        </w:rPr>
        <w:t>相关规定执行</w:t>
      </w:r>
      <w:r>
        <w:rPr>
          <w:rFonts w:hint="eastAsia" w:ascii="Times New Roman" w:hAnsi="Times New Roman" w:cs="Times New Roman"/>
          <w:bCs/>
          <w:szCs w:val="21"/>
          <w:highlight w:val="none"/>
          <w:lang w:eastAsia="zh-CN"/>
        </w:rPr>
        <w:t>；</w:t>
      </w:r>
    </w:p>
    <w:p w14:paraId="24E654EC">
      <w:pPr>
        <w:keepNext w:val="0"/>
        <w:keepLines w:val="0"/>
        <w:pageBreakBefore w:val="0"/>
        <w:widowControl w:val="0"/>
        <w:kinsoku/>
        <w:wordWrap/>
        <w:overflowPunct/>
        <w:topLinePunct w:val="0"/>
        <w:autoSpaceDE/>
        <w:autoSpaceDN/>
        <w:bidi w:val="0"/>
        <w:adjustRightInd/>
        <w:snapToGrid w:val="0"/>
        <w:spacing w:line="240" w:lineRule="auto"/>
        <w:ind w:left="0" w:leftChars="0" w:firstLine="630" w:firstLineChars="300"/>
        <w:textAlignment w:val="auto"/>
        <w:rPr>
          <w:rFonts w:hint="default" w:ascii="Times New Roman" w:hAnsi="Times New Roman" w:eastAsia="宋体" w:cs="Times New Roman"/>
          <w:bCs/>
          <w:szCs w:val="21"/>
          <w:highlight w:val="none"/>
          <w:lang w:val="en-US" w:eastAsia="zh-CN"/>
        </w:rPr>
      </w:pPr>
      <w:r>
        <w:rPr>
          <w:rFonts w:ascii="Times New Roman" w:hAnsi="Times New Roman" w:eastAsiaTheme="minorEastAsia"/>
          <w:position w:val="-12"/>
          <w:szCs w:val="21"/>
          <w:highlight w:val="none"/>
        </w:rPr>
        <w:object>
          <v:shape id="_x0000_i1127" o:spt="75" type="#_x0000_t75" style="height:17.5pt;width:13.3pt;" o:ole="t" filled="f" o:preferrelative="t" stroked="f" coordsize="21600,21600">
            <v:path/>
            <v:fill on="f" focussize="0,0"/>
            <v:stroke on="f"/>
            <v:imagedata r:id="rId210" o:title=""/>
            <o:lock v:ext="edit" aspectratio="t"/>
            <w10:wrap type="none"/>
            <w10:anchorlock/>
          </v:shape>
          <o:OLEObject Type="Embed" ProgID="Equation.3" ShapeID="_x0000_i1127" DrawAspect="Content" ObjectID="_1468075827" r:id="rId209">
            <o:LockedField>false</o:LockedField>
          </o:OLEObject>
        </w:object>
      </w:r>
      <w:r>
        <w:rPr>
          <w:rFonts w:ascii="Times New Roman" w:hAnsi="Times New Roman" w:eastAsia="宋体" w:cs="Times New Roman"/>
          <w:bCs/>
          <w:szCs w:val="21"/>
          <w:highlight w:val="none"/>
        </w:rPr>
        <w:t>——</w:t>
      </w:r>
      <w:r>
        <w:rPr>
          <w:rFonts w:hint="eastAsia" w:ascii="Times New Roman" w:hAnsi="Times New Roman" w:eastAsia="宋体" w:cs="Times New Roman"/>
          <w:bCs/>
          <w:szCs w:val="21"/>
          <w:highlight w:val="none"/>
        </w:rPr>
        <w:t>桩</w:t>
      </w:r>
      <w:r>
        <w:rPr>
          <w:rFonts w:ascii="Times New Roman" w:hAnsi="Times New Roman" w:eastAsia="宋体" w:cs="Times New Roman"/>
          <w:bCs/>
          <w:szCs w:val="21"/>
          <w:highlight w:val="none"/>
        </w:rPr>
        <w:t>的</w:t>
      </w:r>
      <w:r>
        <w:rPr>
          <w:rFonts w:hint="eastAsia" w:ascii="Times New Roman" w:hAnsi="Times New Roman" w:eastAsia="宋体" w:cs="Times New Roman"/>
          <w:bCs/>
          <w:szCs w:val="21"/>
          <w:highlight w:val="none"/>
        </w:rPr>
        <w:t>计算宽度</w:t>
      </w:r>
      <w:r>
        <w:rPr>
          <w:rFonts w:ascii="Times New Roman" w:hAnsi="Times New Roman" w:eastAsia="宋体" w:cs="Times New Roman"/>
          <w:bCs/>
          <w:szCs w:val="21"/>
          <w:highlight w:val="none"/>
        </w:rPr>
        <w:t>(m)</w:t>
      </w:r>
      <w:r>
        <w:rPr>
          <w:rFonts w:hint="eastAsia" w:ascii="Times New Roman" w:hAnsi="Times New Roman" w:cs="Times New Roman"/>
          <w:bCs/>
          <w:szCs w:val="21"/>
          <w:highlight w:val="none"/>
          <w:lang w:eastAsia="zh-CN"/>
        </w:rPr>
        <w:t>，</w:t>
      </w:r>
      <w:r>
        <w:rPr>
          <w:rFonts w:hint="eastAsia" w:ascii="Times New Roman" w:hAnsi="Times New Roman" w:cs="Times New Roman"/>
          <w:bCs/>
          <w:szCs w:val="21"/>
          <w:highlight w:val="none"/>
          <w:lang w:val="en-US" w:eastAsia="zh-CN"/>
        </w:rPr>
        <w:t>取芯桩的计算宽度：</w:t>
      </w:r>
    </w:p>
    <w:p w14:paraId="656EF686">
      <w:pPr>
        <w:keepNext w:val="0"/>
        <w:keepLines w:val="0"/>
        <w:pageBreakBefore w:val="0"/>
        <w:widowControl w:val="0"/>
        <w:kinsoku/>
        <w:wordWrap/>
        <w:overflowPunct/>
        <w:topLinePunct w:val="0"/>
        <w:autoSpaceDE/>
        <w:autoSpaceDN/>
        <w:bidi w:val="0"/>
        <w:adjustRightInd/>
        <w:snapToGrid w:val="0"/>
        <w:spacing w:line="240" w:lineRule="auto"/>
        <w:ind w:left="0" w:leftChars="0" w:firstLine="630" w:firstLineChars="300"/>
        <w:textAlignment w:val="auto"/>
        <w:rPr>
          <w:rFonts w:hint="eastAsia" w:ascii="Times New Roman" w:hAnsi="Times New Roman" w:eastAsia="宋体" w:cs="Times New Roman"/>
          <w:bCs/>
          <w:szCs w:val="21"/>
          <w:highlight w:val="none"/>
        </w:rPr>
      </w:pPr>
      <w:r>
        <w:rPr>
          <w:rFonts w:hint="eastAsia" w:ascii="Times New Roman" w:hAnsi="Times New Roman" w:cs="Times New Roman"/>
          <w:bCs/>
          <w:szCs w:val="21"/>
          <w:highlight w:val="none"/>
          <w:lang w:val="en-US" w:eastAsia="zh-CN"/>
        </w:rPr>
        <w:t xml:space="preserve">      </w:t>
      </w:r>
      <w:r>
        <w:rPr>
          <w:rFonts w:hint="eastAsia" w:ascii="Times New Roman" w:hAnsi="Times New Roman" w:eastAsia="宋体" w:cs="Times New Roman"/>
          <w:bCs/>
          <w:szCs w:val="21"/>
          <w:highlight w:val="none"/>
        </w:rPr>
        <w:t>当直径</w:t>
      </w:r>
      <m:oMath>
        <m:r>
          <m:rPr/>
          <w:rPr>
            <w:rFonts w:ascii="Cambria Math" w:hAnsi="Cambria Math" w:eastAsia="宋体" w:cs="Times New Roman"/>
            <w:szCs w:val="21"/>
            <w:highlight w:val="none"/>
          </w:rPr>
          <m:t>d≤1m</m:t>
        </m:r>
      </m:oMath>
      <w:r>
        <w:rPr>
          <w:rFonts w:hint="eastAsia" w:ascii="Times New Roman" w:hAnsi="Times New Roman" w:eastAsia="宋体" w:cs="Times New Roman"/>
          <w:bCs/>
          <w:szCs w:val="21"/>
          <w:highlight w:val="none"/>
        </w:rPr>
        <w:t>时，</w:t>
      </w:r>
      <m:oMath>
        <m:sSub>
          <m:sSubPr>
            <m:ctrlPr>
              <w:rPr>
                <w:rFonts w:ascii="Cambria Math" w:hAnsi="Cambria Math" w:eastAsia="宋体" w:cs="Times New Roman"/>
                <w:bCs/>
                <w:i/>
                <w:szCs w:val="21"/>
                <w:highlight w:val="none"/>
              </w:rPr>
            </m:ctrlPr>
          </m:sSubPr>
          <m:e>
            <m:r>
              <m:rPr/>
              <w:rPr>
                <w:rFonts w:ascii="Cambria Math" w:hAnsi="Cambria Math" w:eastAsia="宋体" w:cs="Times New Roman"/>
                <w:szCs w:val="21"/>
                <w:highlight w:val="none"/>
              </w:rPr>
              <m:t>b</m:t>
            </m:r>
            <m:ctrlPr>
              <w:rPr>
                <w:rFonts w:ascii="Cambria Math" w:hAnsi="Cambria Math" w:eastAsia="宋体" w:cs="Times New Roman"/>
                <w:bCs/>
                <w:i/>
                <w:szCs w:val="21"/>
                <w:highlight w:val="none"/>
              </w:rPr>
            </m:ctrlPr>
          </m:e>
          <m:sub>
            <m:r>
              <m:rPr/>
              <w:rPr>
                <w:rFonts w:ascii="Cambria Math" w:hAnsi="Cambria Math" w:eastAsia="宋体" w:cs="Times New Roman"/>
                <w:szCs w:val="21"/>
                <w:highlight w:val="none"/>
              </w:rPr>
              <m:t>0</m:t>
            </m:r>
            <m:ctrlPr>
              <w:rPr>
                <w:rFonts w:ascii="Cambria Math" w:hAnsi="Cambria Math" w:eastAsia="宋体" w:cs="Times New Roman"/>
                <w:bCs/>
                <w:i/>
                <w:szCs w:val="21"/>
                <w:highlight w:val="none"/>
              </w:rPr>
            </m:ctrlPr>
          </m:sub>
        </m:sSub>
        <m:r>
          <m:rPr/>
          <w:rPr>
            <w:rFonts w:ascii="Cambria Math" w:hAnsi="Cambria Math" w:eastAsia="宋体" w:cs="Times New Roman"/>
            <w:szCs w:val="21"/>
            <w:highlight w:val="none"/>
          </w:rPr>
          <m:t>=0.9(1.5d+0.5)</m:t>
        </m:r>
      </m:oMath>
      <w:r>
        <w:rPr>
          <w:rFonts w:hint="eastAsia" w:ascii="Times New Roman" w:hAnsi="Times New Roman" w:eastAsia="宋体" w:cs="Times New Roman"/>
          <w:bCs/>
          <w:szCs w:val="21"/>
          <w:highlight w:val="none"/>
        </w:rPr>
        <w:t>；</w:t>
      </w:r>
    </w:p>
    <w:p w14:paraId="1A54DD3C">
      <w:pPr>
        <w:keepNext w:val="0"/>
        <w:keepLines w:val="0"/>
        <w:pageBreakBefore w:val="0"/>
        <w:widowControl w:val="0"/>
        <w:kinsoku/>
        <w:wordWrap/>
        <w:overflowPunct/>
        <w:topLinePunct w:val="0"/>
        <w:autoSpaceDE/>
        <w:autoSpaceDN/>
        <w:bidi w:val="0"/>
        <w:adjustRightInd/>
        <w:snapToGrid w:val="0"/>
        <w:spacing w:line="240" w:lineRule="auto"/>
        <w:ind w:firstLine="1260" w:firstLineChars="600"/>
        <w:textAlignment w:val="auto"/>
        <w:rPr>
          <w:rFonts w:hint="eastAsia"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当直径</w:t>
      </w:r>
      <m:oMath>
        <m:r>
          <m:rPr/>
          <w:rPr>
            <w:rFonts w:ascii="Cambria Math" w:hAnsi="Cambria Math" w:eastAsia="宋体" w:cs="Times New Roman"/>
            <w:szCs w:val="21"/>
            <w:highlight w:val="none"/>
          </w:rPr>
          <m:t>d&gt;1m</m:t>
        </m:r>
      </m:oMath>
      <w:r>
        <w:rPr>
          <w:rFonts w:hint="eastAsia" w:ascii="Times New Roman" w:hAnsi="Times New Roman" w:eastAsia="宋体" w:cs="Times New Roman"/>
          <w:bCs/>
          <w:szCs w:val="21"/>
          <w:highlight w:val="none"/>
        </w:rPr>
        <w:t>时，</w:t>
      </w:r>
      <m:oMath>
        <m:sSub>
          <m:sSubPr>
            <m:ctrlPr>
              <w:rPr>
                <w:rFonts w:ascii="Cambria Math" w:hAnsi="Cambria Math" w:eastAsia="宋体" w:cs="Times New Roman"/>
                <w:bCs/>
                <w:i/>
                <w:szCs w:val="21"/>
                <w:highlight w:val="none"/>
              </w:rPr>
            </m:ctrlPr>
          </m:sSubPr>
          <m:e>
            <m:r>
              <m:rPr/>
              <w:rPr>
                <w:rFonts w:ascii="Cambria Math" w:hAnsi="Cambria Math" w:eastAsia="宋体" w:cs="Times New Roman"/>
                <w:szCs w:val="21"/>
                <w:highlight w:val="none"/>
              </w:rPr>
              <m:t>b</m:t>
            </m:r>
            <m:ctrlPr>
              <w:rPr>
                <w:rFonts w:ascii="Cambria Math" w:hAnsi="Cambria Math" w:eastAsia="宋体" w:cs="Times New Roman"/>
                <w:bCs/>
                <w:i/>
                <w:szCs w:val="21"/>
                <w:highlight w:val="none"/>
              </w:rPr>
            </m:ctrlPr>
          </m:e>
          <m:sub>
            <m:r>
              <m:rPr/>
              <w:rPr>
                <w:rFonts w:ascii="Cambria Math" w:hAnsi="Cambria Math" w:eastAsia="宋体" w:cs="Times New Roman"/>
                <w:szCs w:val="21"/>
                <w:highlight w:val="none"/>
              </w:rPr>
              <m:t>0</m:t>
            </m:r>
            <m:ctrlPr>
              <w:rPr>
                <w:rFonts w:ascii="Cambria Math" w:hAnsi="Cambria Math" w:eastAsia="宋体" w:cs="Times New Roman"/>
                <w:bCs/>
                <w:i/>
                <w:szCs w:val="21"/>
                <w:highlight w:val="none"/>
              </w:rPr>
            </m:ctrlPr>
          </m:sub>
        </m:sSub>
        <m:r>
          <m:rPr/>
          <w:rPr>
            <w:rFonts w:ascii="Cambria Math" w:hAnsi="Cambria Math" w:eastAsia="宋体" w:cs="Times New Roman"/>
            <w:szCs w:val="21"/>
            <w:highlight w:val="none"/>
          </w:rPr>
          <m:t>=0.9(d+1)</m:t>
        </m:r>
      </m:oMath>
      <w:r>
        <w:rPr>
          <w:rFonts w:hint="eastAsia" w:ascii="Times New Roman" w:hAnsi="Times New Roman" w:eastAsia="宋体" w:cs="Times New Roman"/>
          <w:bCs/>
          <w:szCs w:val="21"/>
          <w:highlight w:val="none"/>
        </w:rPr>
        <w:t>；</w:t>
      </w:r>
    </w:p>
    <w:p w14:paraId="70C210C9">
      <w:pPr>
        <w:keepNext w:val="0"/>
        <w:keepLines w:val="0"/>
        <w:pageBreakBefore w:val="0"/>
        <w:widowControl w:val="0"/>
        <w:kinsoku/>
        <w:wordWrap/>
        <w:overflowPunct/>
        <w:topLinePunct w:val="0"/>
        <w:autoSpaceDE/>
        <w:autoSpaceDN/>
        <w:bidi w:val="0"/>
        <w:adjustRightInd/>
        <w:snapToGrid w:val="0"/>
        <w:spacing w:line="240" w:lineRule="auto"/>
        <w:ind w:left="1260" w:leftChars="300" w:hanging="630" w:hangingChars="300"/>
        <w:textAlignment w:val="auto"/>
        <w:rPr>
          <w:rFonts w:hint="eastAsia" w:ascii="Times New Roman" w:hAnsi="Times New Roman" w:cs="Times New Roman"/>
          <w:bCs/>
          <w:w w:val="95"/>
          <w:szCs w:val="21"/>
          <w:highlight w:val="none"/>
          <w:lang w:val="en-US" w:eastAsia="zh-CN"/>
        </w:rPr>
      </w:pPr>
      <w:r>
        <w:rPr>
          <w:rFonts w:ascii="Times New Roman" w:hAnsi="Times New Roman" w:eastAsiaTheme="minorEastAsia"/>
          <w:position w:val="-4"/>
          <w:szCs w:val="21"/>
          <w:highlight w:val="none"/>
        </w:rPr>
        <w:object>
          <v:shape id="_x0000_i1128" o:spt="75" type="#_x0000_t75" style="height:12.65pt;width:17.4pt;" o:ole="t" filled="f" o:preferrelative="t" stroked="f" coordsize="21600,21600">
            <v:path/>
            <v:fill on="f" focussize="0,0"/>
            <v:stroke on="f"/>
            <v:imagedata r:id="rId212" o:title=""/>
            <o:lock v:ext="edit" aspectratio="t"/>
            <w10:wrap type="none"/>
            <w10:anchorlock/>
          </v:shape>
          <o:OLEObject Type="Embed" ProgID="Equation.3" ShapeID="_x0000_i1128" DrawAspect="Content" ObjectID="_1468075828" r:id="rId211">
            <o:LockedField>false</o:LockedField>
          </o:OLEObject>
        </w:object>
      </w:r>
      <w:r>
        <w:rPr>
          <w:rFonts w:ascii="Times New Roman" w:hAnsi="Times New Roman" w:eastAsia="宋体" w:cs="Times New Roman"/>
          <w:bCs/>
          <w:szCs w:val="21"/>
          <w:highlight w:val="none"/>
        </w:rPr>
        <w:t>——</w:t>
      </w:r>
      <w:r>
        <w:rPr>
          <w:rFonts w:hint="eastAsia" w:ascii="Times New Roman" w:hAnsi="Times New Roman" w:eastAsia="宋体" w:cs="Times New Roman"/>
          <w:bCs/>
          <w:w w:val="95"/>
          <w:szCs w:val="21"/>
          <w:highlight w:val="none"/>
        </w:rPr>
        <w:t>桩的</w:t>
      </w:r>
      <w:r>
        <w:rPr>
          <w:rFonts w:ascii="Times New Roman" w:hAnsi="Times New Roman" w:eastAsia="宋体" w:cs="Times New Roman"/>
          <w:bCs/>
          <w:w w:val="95"/>
          <w:szCs w:val="21"/>
          <w:highlight w:val="none"/>
        </w:rPr>
        <w:t>抗弯刚度(kN</w:t>
      </w:r>
      <w:r>
        <w:rPr>
          <w:rFonts w:ascii="Times New Roman" w:hAnsi="Times New Roman" w:eastAsia="宋体" w:cs="Times New Roman"/>
          <w:bCs/>
          <w:w w:val="95"/>
          <w:szCs w:val="21"/>
          <w:highlight w:val="none"/>
        </w:rPr>
        <w:sym w:font="Symbol" w:char="F0D7"/>
      </w:r>
      <w:r>
        <w:rPr>
          <w:rFonts w:ascii="Times New Roman" w:hAnsi="Times New Roman" w:eastAsia="宋体" w:cs="Times New Roman"/>
          <w:bCs/>
          <w:w w:val="95"/>
          <w:szCs w:val="21"/>
          <w:highlight w:val="none"/>
        </w:rPr>
        <w:t>m</w:t>
      </w:r>
      <w:r>
        <w:rPr>
          <w:rFonts w:ascii="Times New Roman" w:hAnsi="Times New Roman" w:eastAsia="宋体" w:cs="Times New Roman"/>
          <w:bCs/>
          <w:w w:val="95"/>
          <w:szCs w:val="21"/>
          <w:highlight w:val="none"/>
          <w:vertAlign w:val="superscript"/>
        </w:rPr>
        <w:t>2</w:t>
      </w:r>
      <w:r>
        <w:rPr>
          <w:rFonts w:ascii="Times New Roman" w:hAnsi="Times New Roman" w:eastAsia="宋体" w:cs="Times New Roman"/>
          <w:bCs/>
          <w:w w:val="95"/>
          <w:szCs w:val="21"/>
          <w:highlight w:val="none"/>
        </w:rPr>
        <w:t>)</w:t>
      </w:r>
      <w:r>
        <w:rPr>
          <w:rFonts w:hint="eastAsia" w:ascii="Times New Roman" w:hAnsi="Times New Roman" w:eastAsia="宋体" w:cs="Times New Roman"/>
          <w:bCs/>
          <w:w w:val="95"/>
          <w:szCs w:val="21"/>
          <w:highlight w:val="none"/>
        </w:rPr>
        <w:t>，</w:t>
      </w:r>
      <w:r>
        <w:rPr>
          <w:rFonts w:hint="eastAsia" w:ascii="Times New Roman" w:hAnsi="Times New Roman" w:cs="Times New Roman"/>
          <w:bCs/>
          <w:w w:val="95"/>
          <w:szCs w:val="21"/>
          <w:highlight w:val="none"/>
          <w:lang w:val="en-US" w:eastAsia="zh-CN"/>
        </w:rPr>
        <w:t>取芯桩的抗弯刚度：</w:t>
      </w:r>
    </w:p>
    <w:p w14:paraId="2C6A3D50">
      <w:pPr>
        <w:keepNext w:val="0"/>
        <w:keepLines w:val="0"/>
        <w:pageBreakBefore w:val="0"/>
        <w:widowControl w:val="0"/>
        <w:kinsoku/>
        <w:wordWrap/>
        <w:overflowPunct/>
        <w:topLinePunct w:val="0"/>
        <w:autoSpaceDE/>
        <w:autoSpaceDN/>
        <w:bidi w:val="0"/>
        <w:adjustRightInd/>
        <w:snapToGrid w:val="0"/>
        <w:spacing w:line="240" w:lineRule="auto"/>
        <w:ind w:left="1239" w:leftChars="590" w:firstLine="0" w:firstLineChars="0"/>
        <w:textAlignment w:val="auto"/>
        <w:rPr>
          <w:rFonts w:hint="eastAsia" w:ascii="Times New Roman" w:hAnsi="Times New Roman" w:cs="Times New Roman"/>
          <w:highlight w:val="none"/>
          <w:lang w:eastAsia="zh-CN"/>
        </w:rPr>
      </w:pPr>
      <w:r>
        <w:rPr>
          <w:rFonts w:ascii="Times New Roman" w:hAnsi="Times New Roman" w:eastAsiaTheme="minorEastAsia"/>
          <w:position w:val="-12"/>
          <w:szCs w:val="21"/>
          <w:highlight w:val="none"/>
        </w:rPr>
        <w:object>
          <v:shape id="_x0000_i1129" o:spt="75" type="#_x0000_t75" style="height:17.5pt;width:71.65pt;" o:ole="t" filled="f" o:preferrelative="t" stroked="f" coordsize="21600,21600">
            <v:path/>
            <v:fill on="f" focussize="0,0"/>
            <v:stroke on="f"/>
            <v:imagedata r:id="rId214" o:title=""/>
            <o:lock v:ext="edit" aspectratio="t"/>
            <w10:wrap type="none"/>
            <w10:anchorlock/>
          </v:shape>
          <o:OLEObject Type="Embed" ProgID="Equation.3" ShapeID="_x0000_i1129" DrawAspect="Content" ObjectID="_1468075829" r:id="rId213">
            <o:LockedField>false</o:LockedField>
          </o:OLEObject>
        </w:object>
      </w:r>
      <w:r>
        <w:rPr>
          <w:rFonts w:hint="eastAsia" w:ascii="Times New Roman" w:hAnsi="Times New Roman" w:eastAsia="宋体" w:cs="Times New Roman"/>
          <w:w w:val="95"/>
          <w:highlight w:val="none"/>
        </w:rPr>
        <w:t>，</w:t>
      </w:r>
      <w:r>
        <w:rPr>
          <w:rFonts w:hint="eastAsia" w:ascii="Times New Roman" w:hAnsi="Times New Roman" w:eastAsiaTheme="minorEastAsia"/>
          <w:position w:val="-30"/>
          <w:szCs w:val="21"/>
          <w:highlight w:val="none"/>
          <w:lang w:val="en-US" w:eastAsia="zh-CN"/>
        </w:rPr>
        <w:t xml:space="preserve"> </w:t>
      </w:r>
      <w:r>
        <w:rPr>
          <w:rFonts w:ascii="Times New Roman" w:hAnsi="Times New Roman" w:eastAsiaTheme="minorEastAsia"/>
          <w:position w:val="-12"/>
          <w:szCs w:val="21"/>
          <w:highlight w:val="none"/>
        </w:rPr>
        <w:object>
          <v:shape id="_x0000_i1130" o:spt="75" type="#_x0000_t75" style="height:16.25pt;width:14.3pt;" o:ole="t" filled="f" o:preferrelative="t" stroked="f" coordsize="21600,21600">
            <v:path/>
            <v:fill on="f" focussize="0,0"/>
            <v:stroke on="f"/>
            <v:imagedata r:id="rId216" o:title=""/>
            <o:lock v:ext="edit" aspectratio="t"/>
            <w10:wrap type="none"/>
            <w10:anchorlock/>
          </v:shape>
          <o:OLEObject Type="Embed" ProgID="Equation.3" ShapeID="_x0000_i1130" DrawAspect="Content" ObjectID="_1468075830" r:id="rId215">
            <o:LockedField>false</o:LockedField>
          </o:OLEObject>
        </w:object>
      </w:r>
      <w:r>
        <w:rPr>
          <w:rFonts w:hint="eastAsia" w:ascii="Times New Roman" w:hAnsi="Times New Roman" w:eastAsia="宋体" w:cs="Times New Roman"/>
          <w:w w:val="95"/>
          <w:highlight w:val="none"/>
        </w:rPr>
        <w:t>为混凝土弹性模量，</w:t>
      </w:r>
      <w:r>
        <w:rPr>
          <w:rFonts w:ascii="Times New Roman" w:hAnsi="Times New Roman" w:eastAsiaTheme="minorEastAsia"/>
          <w:position w:val="-12"/>
          <w:szCs w:val="21"/>
          <w:highlight w:val="none"/>
        </w:rPr>
        <w:object>
          <v:shape id="_x0000_i1131" o:spt="75" type="#_x0000_t75" style="height:16.25pt;width:12.4pt;" o:ole="t" filled="f" o:preferrelative="t" stroked="f" coordsize="21600,21600">
            <v:path/>
            <v:fill on="f" focussize="0,0"/>
            <v:stroke on="f"/>
            <v:imagedata r:id="rId218" o:title=""/>
            <o:lock v:ext="edit" aspectratio="t"/>
            <w10:wrap type="none"/>
            <w10:anchorlock/>
          </v:shape>
          <o:OLEObject Type="Embed" ProgID="Equation.3" ShapeID="_x0000_i1131" DrawAspect="Content" ObjectID="_1468075831" r:id="rId217">
            <o:LockedField>false</o:LockedField>
          </o:OLEObject>
        </w:object>
      </w:r>
      <w:r>
        <w:rPr>
          <w:rFonts w:hint="eastAsia" w:ascii="Times New Roman" w:hAnsi="Times New Roman" w:eastAsia="宋体" w:cs="Times New Roman"/>
          <w:highlight w:val="none"/>
        </w:rPr>
        <w:t>为桩身换算截面惯性矩</w:t>
      </w:r>
      <w:r>
        <w:rPr>
          <w:rFonts w:hint="eastAsia" w:ascii="Times New Roman" w:hAnsi="Times New Roman" w:cs="Times New Roman"/>
          <w:highlight w:val="none"/>
          <w:lang w:eastAsia="zh-CN"/>
        </w:rPr>
        <w:t>；</w:t>
      </w:r>
    </w:p>
    <w:p w14:paraId="745C8361">
      <w:pPr>
        <w:keepNext w:val="0"/>
        <w:keepLines w:val="0"/>
        <w:pageBreakBefore w:val="0"/>
        <w:widowControl w:val="0"/>
        <w:kinsoku/>
        <w:wordWrap/>
        <w:overflowPunct/>
        <w:topLinePunct w:val="0"/>
        <w:autoSpaceDE/>
        <w:autoSpaceDN/>
        <w:bidi w:val="0"/>
        <w:adjustRightInd/>
        <w:snapToGrid w:val="0"/>
        <w:spacing w:line="240" w:lineRule="auto"/>
        <w:ind w:left="1260" w:leftChars="300" w:hanging="630" w:hangingChars="300"/>
        <w:textAlignment w:val="auto"/>
        <w:rPr>
          <w:rFonts w:hint="eastAsia" w:ascii="Times New Roman" w:hAnsi="Times New Roman" w:eastAsia="宋体" w:cs="Times New Roman"/>
          <w:bCs/>
          <w:szCs w:val="21"/>
          <w:highlight w:val="none"/>
          <w:lang w:eastAsia="zh-CN"/>
        </w:rPr>
      </w:pPr>
      <w:r>
        <w:rPr>
          <w:rFonts w:ascii="Times New Roman" w:hAnsi="Times New Roman" w:eastAsiaTheme="minorEastAsia"/>
          <w:position w:val="-12"/>
          <w:szCs w:val="21"/>
          <w:highlight w:val="none"/>
        </w:rPr>
        <w:object>
          <v:shape id="_x0000_i1132" o:spt="75" type="#_x0000_t75" style="height:17.5pt;width:19.45pt;" o:ole="t" filled="f" o:preferrelative="t" stroked="f" coordsize="21600,21600">
            <v:path/>
            <v:fill on="f" focussize="0,0"/>
            <v:stroke on="f"/>
            <v:imagedata r:id="rId220" o:title=""/>
            <o:lock v:ext="edit" aspectratio="t"/>
            <w10:wrap type="none"/>
            <w10:anchorlock/>
          </v:shape>
          <o:OLEObject Type="Embed" ProgID="Equation.3" ShapeID="_x0000_i1132" DrawAspect="Content" ObjectID="_1468075832" r:id="rId219">
            <o:LockedField>false</o:LockedField>
          </o:OLEObject>
        </w:object>
      </w:r>
      <w:r>
        <w:rPr>
          <w:rFonts w:ascii="Times New Roman" w:hAnsi="Times New Roman" w:eastAsia="宋体" w:cs="Times New Roman"/>
          <w:bCs/>
          <w:szCs w:val="21"/>
          <w:highlight w:val="none"/>
        </w:rPr>
        <w:t>——桩顶</w:t>
      </w:r>
      <w:r>
        <w:rPr>
          <w:rFonts w:hint="eastAsia" w:ascii="Times New Roman" w:hAnsi="Times New Roman" w:eastAsia="宋体" w:cs="Times New Roman"/>
          <w:bCs/>
          <w:szCs w:val="21"/>
          <w:highlight w:val="none"/>
        </w:rPr>
        <w:t>的</w:t>
      </w:r>
      <w:r>
        <w:rPr>
          <w:rFonts w:ascii="Times New Roman" w:hAnsi="Times New Roman" w:eastAsia="宋体" w:cs="Times New Roman"/>
          <w:bCs/>
          <w:szCs w:val="21"/>
          <w:highlight w:val="none"/>
        </w:rPr>
        <w:t>水平位移</w:t>
      </w:r>
      <w:r>
        <w:rPr>
          <w:rFonts w:hint="eastAsia" w:ascii="Times New Roman" w:hAnsi="Times New Roman" w:eastAsia="宋体" w:cs="Times New Roman"/>
          <w:bCs/>
          <w:szCs w:val="21"/>
          <w:highlight w:val="none"/>
        </w:rPr>
        <w:t>允许值，当以位移控制时，可取</w:t>
      </w:r>
      <w:r>
        <w:rPr>
          <w:rFonts w:ascii="Times New Roman" w:hAnsi="Times New Roman" w:eastAsiaTheme="minorEastAsia"/>
          <w:position w:val="-12"/>
          <w:szCs w:val="21"/>
          <w:highlight w:val="none"/>
        </w:rPr>
        <w:object>
          <v:shape id="_x0000_i1133" o:spt="75" type="#_x0000_t75" style="height:17.5pt;width:62.4pt;" o:ole="t" filled="f" o:preferrelative="t" stroked="f" coordsize="21600,21600">
            <v:path/>
            <v:fill on="f" focussize="0,0"/>
            <v:stroke on="f"/>
            <v:imagedata r:id="rId222" o:title=""/>
            <o:lock v:ext="edit" aspectratio="t"/>
            <w10:wrap type="none"/>
            <w10:anchorlock/>
          </v:shape>
          <o:OLEObject Type="Embed" ProgID="Equation.3" ShapeID="_x0000_i1133" DrawAspect="Content" ObjectID="_1468075833" r:id="rId221">
            <o:LockedField>false</o:LockedField>
          </o:OLEObject>
        </w:object>
      </w:r>
      <w:r>
        <w:rPr>
          <w:rFonts w:hint="eastAsia" w:ascii="Times New Roman" w:hAnsi="Times New Roman" w:eastAsia="宋体" w:cs="Times New Roman"/>
          <w:bCs/>
          <w:szCs w:val="21"/>
          <w:highlight w:val="none"/>
        </w:rPr>
        <w:t>（对水平位移敏感的结构取</w:t>
      </w:r>
      <w:r>
        <w:rPr>
          <w:rFonts w:ascii="Times New Roman" w:hAnsi="Times New Roman" w:eastAsiaTheme="minorEastAsia"/>
          <w:position w:val="-12"/>
          <w:szCs w:val="21"/>
          <w:highlight w:val="none"/>
        </w:rPr>
        <w:object>
          <v:shape id="_x0000_i1134" o:spt="75" type="#_x0000_t75" style="height:17.5pt;width:69.6pt;" o:ole="t" filled="f" o:preferrelative="t" stroked="f" coordsize="21600,21600">
            <v:path/>
            <v:fill on="f" focussize="0,0"/>
            <v:stroke on="f"/>
            <v:imagedata r:id="rId224" o:title=""/>
            <o:lock v:ext="edit" aspectratio="t"/>
            <w10:wrap type="none"/>
            <w10:anchorlock/>
          </v:shape>
          <o:OLEObject Type="Embed" ProgID="Equation.3" ShapeID="_x0000_i1134" DrawAspect="Content" ObjectID="_1468075834" r:id="rId223">
            <o:LockedField>false</o:LockedField>
          </o:OLEObject>
        </w:object>
      </w:r>
      <w:r>
        <w:rPr>
          <w:rFonts w:hint="eastAsia" w:ascii="Times New Roman" w:hAnsi="Times New Roman" w:eastAsia="宋体" w:cs="Times New Roman"/>
          <w:bCs/>
          <w:szCs w:val="21"/>
          <w:highlight w:val="none"/>
        </w:rPr>
        <w:t>）</w:t>
      </w:r>
      <w:r>
        <w:rPr>
          <w:rFonts w:hint="eastAsia" w:ascii="Times New Roman" w:hAnsi="Times New Roman" w:cs="Times New Roman"/>
          <w:bCs/>
          <w:szCs w:val="21"/>
          <w:highlight w:val="none"/>
          <w:lang w:eastAsia="zh-CN"/>
        </w:rPr>
        <w:t>；</w:t>
      </w:r>
    </w:p>
    <w:p w14:paraId="7DD19FE9">
      <w:pPr>
        <w:keepNext w:val="0"/>
        <w:keepLines w:val="0"/>
        <w:pageBreakBefore w:val="0"/>
        <w:widowControl w:val="0"/>
        <w:kinsoku/>
        <w:wordWrap/>
        <w:overflowPunct/>
        <w:topLinePunct w:val="0"/>
        <w:autoSpaceDE/>
        <w:autoSpaceDN/>
        <w:bidi w:val="0"/>
        <w:adjustRightInd/>
        <w:snapToGrid w:val="0"/>
        <w:spacing w:line="240" w:lineRule="auto"/>
        <w:ind w:left="0" w:leftChars="0" w:firstLine="630" w:firstLineChars="300"/>
        <w:textAlignment w:val="auto"/>
        <w:rPr>
          <w:rFonts w:ascii="Times New Roman" w:hAnsi="Times New Roman" w:eastAsia="宋体" w:cs="Times New Roman"/>
          <w:bCs/>
          <w:szCs w:val="21"/>
          <w:highlight w:val="none"/>
        </w:rPr>
      </w:pPr>
      <w:r>
        <w:rPr>
          <w:rFonts w:ascii="Times New Roman" w:hAnsi="Times New Roman" w:eastAsiaTheme="minorEastAsia"/>
          <w:position w:val="-12"/>
          <w:szCs w:val="21"/>
          <w:highlight w:val="none"/>
        </w:rPr>
        <w:object>
          <v:shape id="_x0000_i1135" o:spt="75" type="#_x0000_t75" style="height:17.5pt;width:13.3pt;" o:ole="t" filled="f" o:preferrelative="t" stroked="f" coordsize="21600,21600">
            <v:path/>
            <v:fill on="f" focussize="0,0"/>
            <v:stroke on="f"/>
            <v:imagedata r:id="rId226" o:title=""/>
            <o:lock v:ext="edit" aspectratio="t"/>
            <w10:wrap type="none"/>
            <w10:anchorlock/>
          </v:shape>
          <o:OLEObject Type="Embed" ProgID="Equation.3" ShapeID="_x0000_i1135" DrawAspect="Content" ObjectID="_1468075835" r:id="rId225">
            <o:LockedField>false</o:LockedField>
          </o:OLEObject>
        </w:object>
      </w:r>
      <w:r>
        <w:rPr>
          <w:rFonts w:ascii="Times New Roman" w:hAnsi="Times New Roman" w:eastAsia="宋体" w:cs="Times New Roman"/>
          <w:bCs/>
          <w:szCs w:val="21"/>
          <w:highlight w:val="none"/>
        </w:rPr>
        <w:t>——桩顶水平位移系数</w:t>
      </w:r>
      <w:r>
        <w:rPr>
          <w:rFonts w:hint="eastAsia" w:ascii="Times New Roman" w:hAnsi="Times New Roman" w:eastAsia="宋体" w:cs="Times New Roman"/>
          <w:bCs/>
          <w:szCs w:val="21"/>
          <w:highlight w:val="none"/>
        </w:rPr>
        <w:t>，按表</w:t>
      </w:r>
      <w:r>
        <w:rPr>
          <w:rFonts w:ascii="Times New Roman" w:hAnsi="Times New Roman" w:eastAsia="宋体" w:cs="Times New Roman"/>
          <w:bCs/>
          <w:szCs w:val="21"/>
          <w:highlight w:val="none"/>
        </w:rPr>
        <w:t>4.</w:t>
      </w:r>
      <w:r>
        <w:rPr>
          <w:rFonts w:hint="eastAsia" w:ascii="Times New Roman" w:hAnsi="Times New Roman" w:cs="Times New Roman"/>
          <w:bCs/>
          <w:szCs w:val="21"/>
          <w:highlight w:val="none"/>
          <w:lang w:val="en-US" w:eastAsia="zh-CN"/>
        </w:rPr>
        <w:t>3</w:t>
      </w:r>
      <w:r>
        <w:rPr>
          <w:rFonts w:ascii="Times New Roman" w:hAnsi="Times New Roman" w:eastAsia="宋体" w:cs="Times New Roman"/>
          <w:bCs/>
          <w:szCs w:val="21"/>
          <w:highlight w:val="none"/>
        </w:rPr>
        <w:t>.</w:t>
      </w:r>
      <w:r>
        <w:rPr>
          <w:rFonts w:hint="eastAsia" w:ascii="Times New Roman" w:hAnsi="Times New Roman" w:cs="Times New Roman"/>
          <w:bCs/>
          <w:szCs w:val="21"/>
          <w:highlight w:val="none"/>
          <w:lang w:val="en-US" w:eastAsia="zh-CN"/>
        </w:rPr>
        <w:t>10</w:t>
      </w:r>
      <w:r>
        <w:rPr>
          <w:rFonts w:hint="eastAsia" w:ascii="Times New Roman" w:hAnsi="Times New Roman" w:eastAsia="宋体" w:cs="Times New Roman"/>
          <w:bCs/>
          <w:szCs w:val="21"/>
          <w:highlight w:val="none"/>
        </w:rPr>
        <w:t>取值</w:t>
      </w:r>
      <w:r>
        <w:rPr>
          <w:rFonts w:ascii="Times New Roman" w:hAnsi="Times New Roman" w:eastAsia="宋体" w:cs="Times New Roman"/>
          <w:bCs/>
          <w:szCs w:val="21"/>
          <w:highlight w:val="none"/>
        </w:rPr>
        <w:t>；</w:t>
      </w:r>
    </w:p>
    <w:p w14:paraId="2879FCCA">
      <w:pPr>
        <w:snapToGrid w:val="0"/>
        <w:spacing w:line="360" w:lineRule="auto"/>
        <w:ind w:firstLine="630" w:firstLineChars="300"/>
        <w:rPr>
          <w:rFonts w:ascii="Times New Roman" w:hAnsi="Times New Roman" w:eastAsia="宋体" w:cs="Times New Roman"/>
          <w:bCs/>
          <w:color w:val="FF0000"/>
          <w:szCs w:val="21"/>
        </w:rPr>
      </w:pPr>
      <m:oMath>
        <m:r>
          <m:rPr/>
          <w:rPr>
            <w:rFonts w:ascii="Cambria Math" w:hAnsi="Cambria Math" w:eastAsia="宋体" w:cs="Times New Roman"/>
            <w:color w:val="FF0000"/>
            <w:szCs w:val="21"/>
            <w:vertAlign w:val="subscript"/>
          </w:rPr>
          <m:t xml:space="preserve"> </m:t>
        </m:r>
      </m:oMath>
      <w:r>
        <w:rPr>
          <w:rFonts w:ascii="Times New Roman" w:hAnsi="Times New Roman" w:eastAsiaTheme="minorEastAsia"/>
          <w:color w:val="FF0000"/>
          <w:position w:val="-10"/>
          <w:szCs w:val="21"/>
          <w:highlight w:val="none"/>
        </w:rPr>
        <w:object>
          <v:shape id="_x0000_i1136" o:spt="75" type="#_x0000_t75" style="height:15.6pt;width:10.25pt;" o:ole="t" filled="f" o:preferrelative="t" stroked="f" coordsize="21600,21600">
            <v:path/>
            <v:fill on="f" focussize="0,0"/>
            <v:stroke on="f"/>
            <v:imagedata r:id="rId228" o:title=""/>
            <o:lock v:ext="edit" aspectratio="t"/>
            <w10:wrap type="none"/>
            <w10:anchorlock/>
          </v:shape>
          <o:OLEObject Type="Embed" ProgID="Equation.3" ShapeID="_x0000_i1136" DrawAspect="Content" ObjectID="_1468075836" r:id="rId227">
            <o:LockedField>false</o:LockedField>
          </o:OLEObject>
        </w:object>
      </w:r>
      <w:r>
        <w:rPr>
          <w:rFonts w:ascii="Times New Roman" w:hAnsi="Times New Roman" w:eastAsia="宋体" w:cs="Times New Roman"/>
          <w:bCs/>
          <w:szCs w:val="21"/>
          <w:highlight w:val="none"/>
        </w:rPr>
        <w:t>——</w:t>
      </w:r>
      <w:r>
        <w:rPr>
          <w:rFonts w:hint="eastAsia" w:ascii="Times New Roman" w:hAnsi="Times New Roman" w:eastAsia="宋体" w:cs="Times New Roman"/>
          <w:bCs/>
          <w:szCs w:val="21"/>
          <w:highlight w:val="none"/>
        </w:rPr>
        <w:t>经验修正系数，可取1.2～1.8，D/d较小时，取低值；D/d较大时，取高值。</w:t>
      </w:r>
    </w:p>
    <w:p w14:paraId="021E3A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黑体"/>
          <w:b/>
          <w:sz w:val="18"/>
          <w:szCs w:val="18"/>
          <w:highlight w:val="none"/>
        </w:rPr>
      </w:pPr>
      <w:r>
        <w:rPr>
          <w:rFonts w:hint="default" w:ascii="Times New Roman" w:hAnsi="Times New Roman" w:eastAsia="黑体"/>
          <w:b/>
          <w:sz w:val="18"/>
          <w:szCs w:val="18"/>
          <w:highlight w:val="none"/>
        </w:rPr>
        <w:t>表</w:t>
      </w:r>
      <w:r>
        <w:rPr>
          <w:rFonts w:ascii="Times New Roman" w:hAnsi="Times New Roman" w:eastAsia="黑体"/>
          <w:b/>
          <w:sz w:val="18"/>
          <w:szCs w:val="18"/>
          <w:highlight w:val="none"/>
        </w:rPr>
        <w:t>4.</w:t>
      </w:r>
      <w:r>
        <w:rPr>
          <w:rFonts w:hint="default" w:ascii="Times New Roman" w:hAnsi="Times New Roman" w:eastAsia="黑体"/>
          <w:b/>
          <w:sz w:val="18"/>
          <w:szCs w:val="18"/>
          <w:highlight w:val="none"/>
          <w:lang w:val="en-US" w:eastAsia="zh-CN"/>
        </w:rPr>
        <w:t>3</w:t>
      </w:r>
      <w:r>
        <w:rPr>
          <w:rFonts w:ascii="Times New Roman" w:hAnsi="Times New Roman" w:eastAsia="黑体"/>
          <w:b/>
          <w:sz w:val="18"/>
          <w:szCs w:val="18"/>
          <w:highlight w:val="none"/>
        </w:rPr>
        <w:t>.</w:t>
      </w:r>
      <w:r>
        <w:rPr>
          <w:rFonts w:hint="default" w:ascii="Times New Roman" w:hAnsi="Times New Roman" w:eastAsia="黑体"/>
          <w:b/>
          <w:sz w:val="18"/>
          <w:szCs w:val="18"/>
          <w:highlight w:val="none"/>
          <w:lang w:val="en-US" w:eastAsia="zh-CN"/>
        </w:rPr>
        <w:t>1</w:t>
      </w:r>
      <w:r>
        <w:rPr>
          <w:rFonts w:hint="eastAsia" w:ascii="Times New Roman" w:hAnsi="Times New Roman" w:eastAsia="黑体"/>
          <w:b/>
          <w:sz w:val="18"/>
          <w:szCs w:val="18"/>
          <w:highlight w:val="none"/>
          <w:lang w:val="en-US" w:eastAsia="zh-CN"/>
        </w:rPr>
        <w:t>0</w:t>
      </w:r>
      <w:r>
        <w:rPr>
          <w:rFonts w:ascii="Times New Roman" w:hAnsi="Times New Roman" w:eastAsia="黑体"/>
          <w:b/>
          <w:sz w:val="18"/>
          <w:szCs w:val="18"/>
          <w:highlight w:val="none"/>
        </w:rPr>
        <w:t xml:space="preserve"> </w:t>
      </w:r>
      <w:r>
        <w:rPr>
          <w:rFonts w:hint="eastAsia" w:ascii="Times New Roman" w:hAnsi="Times New Roman" w:eastAsia="黑体"/>
          <w:b/>
          <w:sz w:val="18"/>
          <w:szCs w:val="18"/>
          <w:highlight w:val="none"/>
          <w:lang w:val="en-US" w:eastAsia="zh-CN"/>
        </w:rPr>
        <w:t>预制</w:t>
      </w:r>
      <w:r>
        <w:rPr>
          <w:rFonts w:ascii="Times New Roman" w:hAnsi="Times New Roman" w:eastAsia="黑体"/>
          <w:b/>
          <w:sz w:val="18"/>
          <w:szCs w:val="18"/>
          <w:highlight w:val="none"/>
        </w:rPr>
        <w:t>桩桩顶水平位移系数</w:t>
      </w:r>
      <m:oMath>
        <m:sSub>
          <m:sSubPr>
            <m:ctrlPr>
              <w:rPr>
                <w:rFonts w:ascii="Cambria Math" w:hAnsi="Cambria Math" w:eastAsia="黑体"/>
                <w:b/>
                <w:sz w:val="18"/>
                <w:szCs w:val="18"/>
                <w:highlight w:val="none"/>
              </w:rPr>
            </m:ctrlPr>
          </m:sSubPr>
          <m:e>
            <m:r>
              <m:rPr>
                <m:sty m:val="b"/>
              </m:rPr>
              <w:rPr>
                <w:rFonts w:hint="default" w:ascii="Cambria Math" w:hAnsi="Cambria Math" w:eastAsia="黑体"/>
                <w:sz w:val="18"/>
                <w:szCs w:val="18"/>
                <w:highlight w:val="none"/>
              </w:rPr>
              <m:t>ν</m:t>
            </m:r>
            <m:ctrlPr>
              <w:rPr>
                <w:rFonts w:ascii="Cambria Math" w:hAnsi="Cambria Math" w:eastAsia="黑体"/>
                <w:b/>
                <w:sz w:val="18"/>
                <w:szCs w:val="18"/>
                <w:highlight w:val="none"/>
              </w:rPr>
            </m:ctrlPr>
          </m:e>
          <m:sub>
            <m:r>
              <m:rPr>
                <m:sty m:val="b"/>
              </m:rPr>
              <w:rPr>
                <w:rFonts w:hint="default" w:ascii="Cambria Math" w:hAnsi="Cambria Math" w:eastAsia="黑体"/>
                <w:sz w:val="18"/>
                <w:szCs w:val="18"/>
                <w:highlight w:val="none"/>
              </w:rPr>
              <m:t>x</m:t>
            </m:r>
            <m:ctrlPr>
              <w:rPr>
                <w:rFonts w:ascii="Cambria Math" w:hAnsi="Cambria Math" w:eastAsia="黑体"/>
                <w:b/>
                <w:sz w:val="18"/>
                <w:szCs w:val="18"/>
                <w:highlight w:val="none"/>
              </w:rPr>
            </m:ctrlPr>
          </m:sub>
        </m:sSub>
      </m:oMath>
    </w:p>
    <w:tbl>
      <w:tblPr>
        <w:tblStyle w:val="86"/>
        <w:tblW w:w="4911"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518"/>
        <w:gridCol w:w="1626"/>
        <w:gridCol w:w="2859"/>
      </w:tblGrid>
      <w:tr w14:paraId="3D7B8AB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1" w:hRule="atLeast"/>
          <w:jc w:val="center"/>
        </w:trPr>
        <w:tc>
          <w:tcPr>
            <w:tcW w:w="1264" w:type="pct"/>
            <w:vAlign w:val="center"/>
          </w:tcPr>
          <w:p w14:paraId="0A98F98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桩顶约束情况</w:t>
            </w:r>
          </w:p>
        </w:tc>
        <w:tc>
          <w:tcPr>
            <w:tcW w:w="1354" w:type="pct"/>
            <w:vAlign w:val="center"/>
          </w:tcPr>
          <w:p w14:paraId="78D10168">
            <w:pPr>
              <w:spacing w:line="240" w:lineRule="exact"/>
              <w:jc w:val="center"/>
              <w:rPr>
                <w:rFonts w:hint="eastAsia" w:ascii="Times New Roman" w:hAnsi="Times New Roman" w:eastAsia="宋体" w:cs="Times New Roman"/>
                <w:sz w:val="15"/>
                <w:szCs w:val="15"/>
                <w:highlight w:val="none"/>
                <w:lang w:eastAsia="zh-CN"/>
              </w:rPr>
            </w:pPr>
            <w:r>
              <w:rPr>
                <w:rFonts w:hint="default" w:ascii="Times New Roman" w:hAnsi="Times New Roman" w:cs="Times New Roman"/>
                <w:sz w:val="15"/>
                <w:szCs w:val="15"/>
                <w:highlight w:val="none"/>
              </w:rPr>
              <w:t>桩的换算</w:t>
            </w:r>
            <w:r>
              <w:rPr>
                <w:rFonts w:hint="eastAsia" w:ascii="Times New Roman" w:hAnsi="Times New Roman" w:cs="Times New Roman"/>
                <w:sz w:val="15"/>
                <w:szCs w:val="15"/>
                <w:highlight w:val="none"/>
                <w:lang w:val="en-US" w:eastAsia="zh-CN"/>
              </w:rPr>
              <w:t>埋深（</w:t>
            </w:r>
            <w:r>
              <w:rPr>
                <w:rFonts w:ascii="Times New Roman" w:hAnsi="Times New Roman" w:eastAsiaTheme="minorEastAsia"/>
                <w:position w:val="-6"/>
                <w:szCs w:val="21"/>
                <w:highlight w:val="none"/>
              </w:rPr>
              <w:object>
                <v:shape id="_x0000_i1137" o:spt="75" type="#_x0000_t75" style="height:10.6pt;width:13.55pt;" o:ole="t" filled="f" o:preferrelative="t" stroked="f" coordsize="21600,21600">
                  <v:path/>
                  <v:fill on="f" focussize="0,0"/>
                  <v:stroke on="f"/>
                  <v:imagedata r:id="rId230" o:title=""/>
                  <o:lock v:ext="edit" aspectratio="t"/>
                  <w10:wrap type="none"/>
                  <w10:anchorlock/>
                </v:shape>
                <o:OLEObject Type="Embed" ProgID="Equation.3" ShapeID="_x0000_i1137" DrawAspect="Content" ObjectID="_1468075837" r:id="rId229">
                  <o:LockedField>false</o:LockedField>
                </o:OLEObject>
              </w:object>
            </w:r>
            <w:r>
              <w:rPr>
                <w:rFonts w:hint="eastAsia" w:ascii="Times New Roman" w:hAnsi="Times New Roman" w:cs="Times New Roman"/>
                <w:sz w:val="15"/>
                <w:szCs w:val="15"/>
                <w:highlight w:val="none"/>
                <w:lang w:val="en-US" w:eastAsia="zh-CN"/>
              </w:rPr>
              <w:t>）</w:t>
            </w:r>
          </w:p>
        </w:tc>
        <w:tc>
          <w:tcPr>
            <w:tcW w:w="2381" w:type="pct"/>
            <w:vAlign w:val="center"/>
          </w:tcPr>
          <w:p w14:paraId="398FA51F">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管桩桩顶水平位移系数</w:t>
            </w:r>
            <m:oMath>
              <m:sSub>
                <m:sSubPr>
                  <m:ctrlPr>
                    <w:rPr>
                      <w:rFonts w:ascii="Cambria Math" w:hAnsi="Cambria Math" w:cs="Times New Roman"/>
                      <w:i/>
                      <w:highlight w:val="none"/>
                    </w:rPr>
                  </m:ctrlPr>
                </m:sSubPr>
                <m:e>
                  <m:r>
                    <m:rPr/>
                    <w:rPr>
                      <w:rFonts w:ascii="Cambria Math" w:hAnsi="Cambria Math" w:cs="Times New Roman"/>
                      <w:highlight w:val="none"/>
                    </w:rPr>
                    <m:t>ν</m:t>
                  </m:r>
                  <m:ctrlPr>
                    <w:rPr>
                      <w:rFonts w:ascii="Cambria Math" w:hAnsi="Cambria Math" w:cs="Times New Roman"/>
                      <w:i/>
                      <w:highlight w:val="none"/>
                    </w:rPr>
                  </m:ctrlPr>
                </m:e>
                <m:sub>
                  <m:r>
                    <m:rPr/>
                    <w:rPr>
                      <w:rFonts w:ascii="Cambria Math" w:hAnsi="Cambria Math" w:cs="Times New Roman"/>
                      <w:highlight w:val="none"/>
                    </w:rPr>
                    <m:t>x</m:t>
                  </m:r>
                  <m:ctrlPr>
                    <w:rPr>
                      <w:rFonts w:ascii="Cambria Math" w:hAnsi="Cambria Math" w:cs="Times New Roman"/>
                      <w:i/>
                      <w:highlight w:val="none"/>
                    </w:rPr>
                  </m:ctrlPr>
                </m:sub>
              </m:sSub>
            </m:oMath>
          </w:p>
        </w:tc>
      </w:tr>
      <w:tr w14:paraId="06946A5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2" w:hRule="atLeast"/>
          <w:jc w:val="center"/>
        </w:trPr>
        <w:tc>
          <w:tcPr>
            <w:tcW w:w="1264" w:type="pct"/>
            <w:vMerge w:val="restart"/>
            <w:vAlign w:val="center"/>
          </w:tcPr>
          <w:p w14:paraId="40B9D2B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铰接</w:t>
            </w:r>
          </w:p>
        </w:tc>
        <w:tc>
          <w:tcPr>
            <w:tcW w:w="1354" w:type="pct"/>
            <w:vAlign w:val="center"/>
          </w:tcPr>
          <w:p w14:paraId="3FF94CB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4.0</w:t>
            </w:r>
          </w:p>
        </w:tc>
        <w:tc>
          <w:tcPr>
            <w:tcW w:w="2381" w:type="pct"/>
            <w:vAlign w:val="center"/>
          </w:tcPr>
          <w:p w14:paraId="4B55C7D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2.441</w:t>
            </w:r>
          </w:p>
        </w:tc>
      </w:tr>
      <w:tr w14:paraId="37377C9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64" w:type="pct"/>
            <w:vMerge w:val="continue"/>
            <w:vAlign w:val="center"/>
          </w:tcPr>
          <w:p w14:paraId="02FEBEEB">
            <w:pPr>
              <w:spacing w:line="240" w:lineRule="exact"/>
              <w:jc w:val="center"/>
              <w:rPr>
                <w:rFonts w:hint="default" w:ascii="Times New Roman" w:hAnsi="Times New Roman" w:cs="Times New Roman"/>
                <w:sz w:val="15"/>
                <w:szCs w:val="15"/>
                <w:highlight w:val="none"/>
              </w:rPr>
            </w:pPr>
          </w:p>
        </w:tc>
        <w:tc>
          <w:tcPr>
            <w:tcW w:w="1354" w:type="pct"/>
            <w:vAlign w:val="center"/>
          </w:tcPr>
          <w:p w14:paraId="3D3BFA0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3.5</w:t>
            </w:r>
          </w:p>
        </w:tc>
        <w:tc>
          <w:tcPr>
            <w:tcW w:w="2381" w:type="pct"/>
            <w:vAlign w:val="center"/>
          </w:tcPr>
          <w:p w14:paraId="03600D0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2.502</w:t>
            </w:r>
          </w:p>
        </w:tc>
      </w:tr>
      <w:tr w14:paraId="0855EBD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64" w:type="pct"/>
            <w:vMerge w:val="continue"/>
            <w:vAlign w:val="center"/>
          </w:tcPr>
          <w:p w14:paraId="78118DEB">
            <w:pPr>
              <w:spacing w:line="240" w:lineRule="exact"/>
              <w:jc w:val="center"/>
              <w:rPr>
                <w:rFonts w:hint="default" w:ascii="Times New Roman" w:hAnsi="Times New Roman" w:cs="Times New Roman"/>
                <w:sz w:val="15"/>
                <w:szCs w:val="15"/>
                <w:highlight w:val="none"/>
              </w:rPr>
            </w:pPr>
          </w:p>
        </w:tc>
        <w:tc>
          <w:tcPr>
            <w:tcW w:w="1354" w:type="pct"/>
            <w:vAlign w:val="center"/>
          </w:tcPr>
          <w:p w14:paraId="7CEC89F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3.0</w:t>
            </w:r>
          </w:p>
        </w:tc>
        <w:tc>
          <w:tcPr>
            <w:tcW w:w="2381" w:type="pct"/>
            <w:vAlign w:val="center"/>
          </w:tcPr>
          <w:p w14:paraId="2F1443BE">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2.727</w:t>
            </w:r>
          </w:p>
        </w:tc>
      </w:tr>
      <w:tr w14:paraId="5A2CAF8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64" w:type="pct"/>
            <w:vMerge w:val="continue"/>
            <w:vAlign w:val="center"/>
          </w:tcPr>
          <w:p w14:paraId="7C219965">
            <w:pPr>
              <w:spacing w:line="240" w:lineRule="exact"/>
              <w:jc w:val="center"/>
              <w:rPr>
                <w:rFonts w:hint="default" w:ascii="Times New Roman" w:hAnsi="Times New Roman" w:cs="Times New Roman"/>
                <w:sz w:val="15"/>
                <w:szCs w:val="15"/>
                <w:highlight w:val="none"/>
              </w:rPr>
            </w:pPr>
          </w:p>
        </w:tc>
        <w:tc>
          <w:tcPr>
            <w:tcW w:w="1354" w:type="pct"/>
            <w:vAlign w:val="center"/>
          </w:tcPr>
          <w:p w14:paraId="69DB404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2.8</w:t>
            </w:r>
          </w:p>
        </w:tc>
        <w:tc>
          <w:tcPr>
            <w:tcW w:w="2381" w:type="pct"/>
            <w:vAlign w:val="center"/>
          </w:tcPr>
          <w:p w14:paraId="6517CA8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2.905</w:t>
            </w:r>
          </w:p>
        </w:tc>
      </w:tr>
      <w:tr w14:paraId="2D9309A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64" w:type="pct"/>
            <w:vMerge w:val="continue"/>
            <w:vAlign w:val="center"/>
          </w:tcPr>
          <w:p w14:paraId="4905360D">
            <w:pPr>
              <w:spacing w:line="240" w:lineRule="exact"/>
              <w:jc w:val="center"/>
              <w:rPr>
                <w:rFonts w:hint="default" w:ascii="Times New Roman" w:hAnsi="Times New Roman" w:cs="Times New Roman"/>
                <w:sz w:val="15"/>
                <w:szCs w:val="15"/>
                <w:highlight w:val="none"/>
              </w:rPr>
            </w:pPr>
          </w:p>
        </w:tc>
        <w:tc>
          <w:tcPr>
            <w:tcW w:w="1354" w:type="pct"/>
            <w:vAlign w:val="center"/>
          </w:tcPr>
          <w:p w14:paraId="0FDB1FD3">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2.6</w:t>
            </w:r>
          </w:p>
        </w:tc>
        <w:tc>
          <w:tcPr>
            <w:tcW w:w="2381" w:type="pct"/>
            <w:vAlign w:val="center"/>
          </w:tcPr>
          <w:p w14:paraId="2991FF46">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3.163</w:t>
            </w:r>
          </w:p>
        </w:tc>
      </w:tr>
      <w:tr w14:paraId="27936C6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64" w:type="pct"/>
            <w:vMerge w:val="continue"/>
            <w:vAlign w:val="center"/>
          </w:tcPr>
          <w:p w14:paraId="4DD22D3F">
            <w:pPr>
              <w:spacing w:line="240" w:lineRule="exact"/>
              <w:jc w:val="center"/>
              <w:rPr>
                <w:rFonts w:hint="default" w:ascii="Times New Roman" w:hAnsi="Times New Roman" w:cs="Times New Roman"/>
                <w:sz w:val="15"/>
                <w:szCs w:val="15"/>
                <w:highlight w:val="none"/>
              </w:rPr>
            </w:pPr>
          </w:p>
        </w:tc>
        <w:tc>
          <w:tcPr>
            <w:tcW w:w="1354" w:type="pct"/>
            <w:vAlign w:val="center"/>
          </w:tcPr>
          <w:p w14:paraId="2C9EF89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2.4</w:t>
            </w:r>
          </w:p>
        </w:tc>
        <w:tc>
          <w:tcPr>
            <w:tcW w:w="2381" w:type="pct"/>
            <w:vAlign w:val="center"/>
          </w:tcPr>
          <w:p w14:paraId="5DD8434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3.526</w:t>
            </w:r>
          </w:p>
        </w:tc>
      </w:tr>
      <w:tr w14:paraId="188D139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64" w:type="pct"/>
            <w:vMerge w:val="restart"/>
            <w:vAlign w:val="center"/>
          </w:tcPr>
          <w:p w14:paraId="15A26F8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刚接</w:t>
            </w:r>
          </w:p>
        </w:tc>
        <w:tc>
          <w:tcPr>
            <w:tcW w:w="1354" w:type="pct"/>
            <w:vAlign w:val="center"/>
          </w:tcPr>
          <w:p w14:paraId="059E0CE8">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4.0</w:t>
            </w:r>
          </w:p>
        </w:tc>
        <w:tc>
          <w:tcPr>
            <w:tcW w:w="2381" w:type="pct"/>
            <w:vAlign w:val="center"/>
          </w:tcPr>
          <w:p w14:paraId="116C7AC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0.940</w:t>
            </w:r>
          </w:p>
        </w:tc>
      </w:tr>
      <w:tr w14:paraId="4A1F324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64" w:type="pct"/>
            <w:vMerge w:val="continue"/>
            <w:vAlign w:val="center"/>
          </w:tcPr>
          <w:p w14:paraId="1C09F048">
            <w:pPr>
              <w:spacing w:line="240" w:lineRule="exact"/>
              <w:jc w:val="center"/>
              <w:rPr>
                <w:rFonts w:hint="default" w:ascii="Times New Roman" w:hAnsi="Times New Roman" w:cs="Times New Roman"/>
                <w:sz w:val="15"/>
                <w:szCs w:val="15"/>
                <w:highlight w:val="none"/>
              </w:rPr>
            </w:pPr>
          </w:p>
        </w:tc>
        <w:tc>
          <w:tcPr>
            <w:tcW w:w="1354" w:type="pct"/>
            <w:vAlign w:val="center"/>
          </w:tcPr>
          <w:p w14:paraId="6DC6E80C">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3.5</w:t>
            </w:r>
          </w:p>
        </w:tc>
        <w:tc>
          <w:tcPr>
            <w:tcW w:w="2381" w:type="pct"/>
            <w:vAlign w:val="center"/>
          </w:tcPr>
          <w:p w14:paraId="4E4434E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0.970</w:t>
            </w:r>
          </w:p>
        </w:tc>
      </w:tr>
      <w:tr w14:paraId="2B8E574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64" w:type="pct"/>
            <w:vMerge w:val="continue"/>
            <w:vAlign w:val="center"/>
          </w:tcPr>
          <w:p w14:paraId="02C7ECB6">
            <w:pPr>
              <w:spacing w:line="240" w:lineRule="exact"/>
              <w:jc w:val="center"/>
              <w:rPr>
                <w:rFonts w:hint="default" w:ascii="Times New Roman" w:hAnsi="Times New Roman" w:cs="Times New Roman"/>
                <w:sz w:val="15"/>
                <w:szCs w:val="15"/>
                <w:highlight w:val="none"/>
              </w:rPr>
            </w:pPr>
          </w:p>
        </w:tc>
        <w:tc>
          <w:tcPr>
            <w:tcW w:w="1354" w:type="pct"/>
            <w:vAlign w:val="center"/>
          </w:tcPr>
          <w:p w14:paraId="20B5DC68">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3.0</w:t>
            </w:r>
          </w:p>
        </w:tc>
        <w:tc>
          <w:tcPr>
            <w:tcW w:w="2381" w:type="pct"/>
            <w:vAlign w:val="center"/>
          </w:tcPr>
          <w:p w14:paraId="05D60DB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1.028</w:t>
            </w:r>
          </w:p>
        </w:tc>
      </w:tr>
      <w:tr w14:paraId="213BCB8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64" w:type="pct"/>
            <w:vMerge w:val="continue"/>
            <w:vAlign w:val="center"/>
          </w:tcPr>
          <w:p w14:paraId="13F1E6C5">
            <w:pPr>
              <w:spacing w:line="240" w:lineRule="exact"/>
              <w:jc w:val="center"/>
              <w:rPr>
                <w:rFonts w:hint="default" w:ascii="Times New Roman" w:hAnsi="Times New Roman" w:cs="Times New Roman"/>
                <w:sz w:val="15"/>
                <w:szCs w:val="15"/>
                <w:highlight w:val="none"/>
              </w:rPr>
            </w:pPr>
          </w:p>
        </w:tc>
        <w:tc>
          <w:tcPr>
            <w:tcW w:w="1354" w:type="pct"/>
            <w:vAlign w:val="center"/>
          </w:tcPr>
          <w:p w14:paraId="30339F00">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2.8</w:t>
            </w:r>
          </w:p>
        </w:tc>
        <w:tc>
          <w:tcPr>
            <w:tcW w:w="2381" w:type="pct"/>
            <w:vAlign w:val="center"/>
          </w:tcPr>
          <w:p w14:paraId="66164697">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1.055</w:t>
            </w:r>
          </w:p>
        </w:tc>
      </w:tr>
      <w:tr w14:paraId="7FA38C8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64" w:type="pct"/>
            <w:vMerge w:val="continue"/>
            <w:vAlign w:val="center"/>
          </w:tcPr>
          <w:p w14:paraId="6798491A">
            <w:pPr>
              <w:spacing w:line="240" w:lineRule="exact"/>
              <w:jc w:val="center"/>
              <w:rPr>
                <w:rFonts w:hint="default" w:ascii="Times New Roman" w:hAnsi="Times New Roman" w:cs="Times New Roman"/>
                <w:sz w:val="15"/>
                <w:szCs w:val="15"/>
                <w:highlight w:val="none"/>
              </w:rPr>
            </w:pPr>
          </w:p>
        </w:tc>
        <w:tc>
          <w:tcPr>
            <w:tcW w:w="1354" w:type="pct"/>
            <w:vAlign w:val="center"/>
          </w:tcPr>
          <w:p w14:paraId="01B2A49F">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2.6</w:t>
            </w:r>
          </w:p>
        </w:tc>
        <w:tc>
          <w:tcPr>
            <w:tcW w:w="2381" w:type="pct"/>
            <w:vAlign w:val="center"/>
          </w:tcPr>
          <w:p w14:paraId="59963FFD">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1.079</w:t>
            </w:r>
          </w:p>
        </w:tc>
      </w:tr>
      <w:tr w14:paraId="776B72C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64" w:type="pct"/>
            <w:vMerge w:val="continue"/>
            <w:vAlign w:val="center"/>
          </w:tcPr>
          <w:p w14:paraId="505103F4">
            <w:pPr>
              <w:spacing w:line="240" w:lineRule="exact"/>
              <w:jc w:val="center"/>
              <w:rPr>
                <w:rFonts w:hint="default" w:ascii="Times New Roman" w:hAnsi="Times New Roman" w:cs="Times New Roman"/>
                <w:sz w:val="15"/>
                <w:szCs w:val="15"/>
                <w:highlight w:val="none"/>
              </w:rPr>
            </w:pPr>
          </w:p>
        </w:tc>
        <w:tc>
          <w:tcPr>
            <w:tcW w:w="1354" w:type="pct"/>
            <w:vAlign w:val="center"/>
          </w:tcPr>
          <w:p w14:paraId="1FF09811">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2.4</w:t>
            </w:r>
          </w:p>
        </w:tc>
        <w:tc>
          <w:tcPr>
            <w:tcW w:w="2381" w:type="pct"/>
            <w:vAlign w:val="center"/>
          </w:tcPr>
          <w:p w14:paraId="327EEA42">
            <w:pPr>
              <w:spacing w:line="240" w:lineRule="exact"/>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1.095</w:t>
            </w:r>
          </w:p>
        </w:tc>
      </w:tr>
    </w:tbl>
    <w:p w14:paraId="5C53BA71">
      <w:pPr>
        <w:ind w:left="720" w:hanging="600" w:hangingChars="400"/>
        <w:rPr>
          <w:rFonts w:ascii="Times New Roman" w:hAnsi="Times New Roman" w:cs="Times New Roman"/>
          <w:bCs/>
          <w:sz w:val="15"/>
          <w:szCs w:val="15"/>
          <w:highlight w:val="none"/>
        </w:rPr>
      </w:pPr>
      <w:r>
        <w:rPr>
          <w:rFonts w:hint="default" w:ascii="Times New Roman" w:hAnsi="Times New Roman" w:cs="Times New Roman"/>
          <w:bCs/>
          <w:sz w:val="15"/>
          <w:szCs w:val="15"/>
          <w:highlight w:val="none"/>
        </w:rPr>
        <w:t>注：1、当单桩基础与单排桩基纵向轴线与水平力方向垂直时，按桩顶铰接考虑；</w:t>
      </w:r>
    </w:p>
    <w:p w14:paraId="74E9D46A">
      <w:pPr>
        <w:ind w:left="720" w:hanging="600" w:hangingChars="400"/>
        <w:rPr>
          <w:rFonts w:ascii="Times New Roman" w:hAnsi="Times New Roman" w:cs="Times New Roman"/>
          <w:bCs/>
          <w:sz w:val="15"/>
          <w:szCs w:val="15"/>
          <w:highlight w:val="none"/>
        </w:rPr>
      </w:pPr>
      <w:r>
        <w:rPr>
          <w:rFonts w:hint="default" w:ascii="Times New Roman" w:hAnsi="Times New Roman" w:cs="Times New Roman"/>
          <w:bCs/>
          <w:sz w:val="15"/>
          <w:szCs w:val="15"/>
          <w:highlight w:val="none"/>
        </w:rPr>
        <w:t xml:space="preserve">    2、当</w:t>
      </w:r>
      <m:oMath>
        <m:r>
          <m:rPr/>
          <w:rPr>
            <w:rFonts w:hint="default" w:ascii="Cambria Math" w:hAnsi="Cambria Math" w:cs="Times New Roman"/>
            <w:sz w:val="15"/>
            <w:szCs w:val="15"/>
            <w:highlight w:val="none"/>
          </w:rPr>
          <m:t>α</m:t>
        </m:r>
        <m:r>
          <m:rPr/>
          <w:rPr>
            <w:rFonts w:ascii="Cambria Math" w:hAnsi="Cambria Math" w:cs="Times New Roman"/>
            <w:sz w:val="15"/>
            <w:szCs w:val="15"/>
            <w:highlight w:val="none"/>
          </w:rPr>
          <m:t>ℎ</m:t>
        </m:r>
      </m:oMath>
      <w:r>
        <w:rPr>
          <w:rFonts w:hint="default" w:ascii="Times New Roman" w:hAnsi="Times New Roman" w:cs="Times New Roman"/>
          <w:bCs/>
          <w:sz w:val="15"/>
          <w:szCs w:val="15"/>
          <w:highlight w:val="none"/>
        </w:rPr>
        <w:t>＞4时取</w:t>
      </w:r>
      <m:oMath>
        <m:r>
          <m:rPr/>
          <w:rPr>
            <w:rFonts w:hint="default" w:ascii="Cambria Math" w:hAnsi="Cambria Math" w:cs="Times New Roman"/>
            <w:sz w:val="15"/>
            <w:szCs w:val="15"/>
            <w:highlight w:val="none"/>
          </w:rPr>
          <m:t>α</m:t>
        </m:r>
        <m:r>
          <m:rPr/>
          <w:rPr>
            <w:rFonts w:ascii="Cambria Math" w:hAnsi="Cambria Math" w:cs="Times New Roman"/>
            <w:sz w:val="15"/>
            <w:szCs w:val="15"/>
            <w:highlight w:val="none"/>
          </w:rPr>
          <m:t>ℎ</m:t>
        </m:r>
      </m:oMath>
      <w:r>
        <w:rPr>
          <w:rFonts w:hint="default" w:ascii="Times New Roman" w:hAnsi="Times New Roman" w:cs="Times New Roman"/>
          <w:bCs/>
          <w:sz w:val="15"/>
          <w:szCs w:val="15"/>
          <w:highlight w:val="none"/>
        </w:rPr>
        <w:t>=4.0。</w:t>
      </w:r>
    </w:p>
    <w:p w14:paraId="099B3C37">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trike w:val="0"/>
          <w:dstrike w:val="0"/>
          <w:szCs w:val="21"/>
          <w:highlight w:val="none"/>
          <w:lang w:val="en-US" w:eastAsia="zh-CN"/>
        </w:rPr>
      </w:pPr>
      <w:r>
        <w:rPr>
          <w:rFonts w:hint="default" w:ascii="Times New Roman" w:hAnsi="Times New Roman" w:eastAsia="黑体"/>
          <w:b/>
          <w:bCs/>
          <w:strike w:val="0"/>
          <w:dstrike w:val="0"/>
          <w:kern w:val="0"/>
          <w:szCs w:val="21"/>
          <w:highlight w:val="none"/>
          <w:lang w:val="en-US" w:eastAsia="zh-CN"/>
        </w:rPr>
        <w:t>4</w:t>
      </w:r>
      <w:r>
        <w:rPr>
          <w:rFonts w:ascii="Times New Roman" w:hAnsi="Times New Roman" w:eastAsia="黑体"/>
          <w:b/>
          <w:bCs/>
          <w:strike w:val="0"/>
          <w:dstrike w:val="0"/>
          <w:kern w:val="0"/>
          <w:szCs w:val="21"/>
          <w:highlight w:val="none"/>
        </w:rPr>
        <w:t>.3.</w:t>
      </w:r>
      <w:r>
        <w:rPr>
          <w:rFonts w:hint="default" w:ascii="Times New Roman" w:hAnsi="Times New Roman" w:eastAsia="黑体"/>
          <w:b/>
          <w:bCs/>
          <w:strike w:val="0"/>
          <w:dstrike w:val="0"/>
          <w:kern w:val="0"/>
          <w:szCs w:val="21"/>
          <w:highlight w:val="none"/>
          <w:lang w:val="en-US" w:eastAsia="zh-CN"/>
        </w:rPr>
        <w:t>1</w:t>
      </w:r>
      <w:r>
        <w:rPr>
          <w:rFonts w:hint="eastAsia" w:ascii="Times New Roman" w:hAnsi="Times New Roman" w:eastAsia="黑体"/>
          <w:b/>
          <w:bCs/>
          <w:strike w:val="0"/>
          <w:dstrike w:val="0"/>
          <w:kern w:val="0"/>
          <w:szCs w:val="21"/>
          <w:highlight w:val="none"/>
          <w:lang w:val="en-US" w:eastAsia="zh-CN"/>
        </w:rPr>
        <w:t>1</w:t>
      </w:r>
      <w:r>
        <w:rPr>
          <w:rFonts w:ascii="Times New Roman" w:hAnsi="Times New Roman" w:eastAsiaTheme="minorEastAsia"/>
          <w:b/>
          <w:strike w:val="0"/>
          <w:dstrike w:val="0"/>
          <w:szCs w:val="21"/>
          <w:highlight w:val="none"/>
        </w:rPr>
        <w:t xml:space="preserve"> </w:t>
      </w:r>
      <w:r>
        <w:rPr>
          <w:rFonts w:hint="eastAsia" w:ascii="Times New Roman" w:hAnsi="Times New Roman" w:eastAsia="宋体" w:cs="Times New Roman"/>
          <w:strike w:val="0"/>
          <w:dstrike w:val="0"/>
          <w:szCs w:val="21"/>
          <w:highlight w:val="none"/>
          <w:lang w:val="en-US" w:eastAsia="zh-CN"/>
        </w:rPr>
        <w:t>群桩基础的基</w:t>
      </w:r>
      <w:r>
        <w:rPr>
          <w:rFonts w:hint="eastAsia" w:ascii="Times New Roman" w:hAnsi="Times New Roman" w:cs="Times New Roman"/>
          <w:strike w:val="0"/>
          <w:dstrike w:val="0"/>
          <w:szCs w:val="21"/>
          <w:highlight w:val="none"/>
          <w:lang w:val="en-US" w:eastAsia="zh-CN"/>
        </w:rPr>
        <w:t>桩</w:t>
      </w:r>
      <w:r>
        <w:rPr>
          <w:rFonts w:hint="eastAsia" w:ascii="Times New Roman" w:hAnsi="Times New Roman" w:eastAsia="宋体" w:cs="Times New Roman"/>
          <w:strike w:val="0"/>
          <w:dstrike w:val="0"/>
          <w:szCs w:val="21"/>
          <w:highlight w:val="none"/>
          <w:lang w:val="en-US" w:eastAsia="zh-CN"/>
        </w:rPr>
        <w:t>水平承载力</w:t>
      </w:r>
      <w:r>
        <w:rPr>
          <w:rFonts w:hint="eastAsia" w:ascii="Times New Roman" w:hAnsi="Times New Roman" w:cs="Times New Roman"/>
          <w:strike w:val="0"/>
          <w:dstrike w:val="0"/>
          <w:szCs w:val="21"/>
          <w:highlight w:val="none"/>
          <w:lang w:val="en-US" w:eastAsia="zh-CN"/>
        </w:rPr>
        <w:t>特征值应考虑由承台、桩群和土相互作用产生的群桩效应，计算方法可按现行行业标准</w:t>
      </w:r>
      <w:r>
        <w:rPr>
          <w:rFonts w:hint="eastAsia" w:ascii="Times New Roman" w:hAnsi="Times New Roman" w:eastAsia="宋体" w:cs="Times New Roman"/>
          <w:bCs/>
          <w:strike w:val="0"/>
          <w:dstrike w:val="0"/>
          <w:szCs w:val="21"/>
          <w:highlight w:val="none"/>
        </w:rPr>
        <w:t>《建筑桩基技术规范》J</w:t>
      </w:r>
      <w:r>
        <w:rPr>
          <w:rFonts w:ascii="Times New Roman" w:hAnsi="Times New Roman" w:eastAsia="宋体" w:cs="Times New Roman"/>
          <w:bCs/>
          <w:strike w:val="0"/>
          <w:dstrike w:val="0"/>
          <w:szCs w:val="21"/>
          <w:highlight w:val="none"/>
        </w:rPr>
        <w:t>GJ</w:t>
      </w:r>
      <w:r>
        <w:rPr>
          <w:rFonts w:hint="eastAsia" w:ascii="Times New Roman" w:hAnsi="Times New Roman" w:cs="Times New Roman"/>
          <w:bCs/>
          <w:strike w:val="0"/>
          <w:dstrike w:val="0"/>
          <w:szCs w:val="21"/>
          <w:highlight w:val="none"/>
          <w:lang w:val="en-US" w:eastAsia="zh-CN"/>
        </w:rPr>
        <w:t xml:space="preserve"> </w:t>
      </w:r>
      <w:r>
        <w:rPr>
          <w:rFonts w:ascii="Times New Roman" w:hAnsi="Times New Roman" w:eastAsia="宋体" w:cs="Times New Roman"/>
          <w:bCs/>
          <w:strike w:val="0"/>
          <w:dstrike w:val="0"/>
          <w:szCs w:val="21"/>
          <w:highlight w:val="none"/>
        </w:rPr>
        <w:t>94</w:t>
      </w:r>
      <w:r>
        <w:rPr>
          <w:rFonts w:hint="eastAsia" w:ascii="Times New Roman" w:hAnsi="Times New Roman" w:cs="Times New Roman"/>
          <w:bCs/>
          <w:strike w:val="0"/>
          <w:dstrike w:val="0"/>
          <w:szCs w:val="21"/>
          <w:highlight w:val="none"/>
          <w:lang w:val="en-US" w:eastAsia="zh-CN"/>
        </w:rPr>
        <w:t>相关规定执行，计算时取外芯直径。</w:t>
      </w:r>
    </w:p>
    <w:p w14:paraId="582BBB6F">
      <w:pPr>
        <w:keepNext w:val="0"/>
        <w:keepLines w:val="0"/>
        <w:pageBreakBefore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Cs w:val="21"/>
          <w:highlight w:val="none"/>
          <w:lang w:eastAsia="zh-CN"/>
        </w:rPr>
      </w:pPr>
      <w:r>
        <w:rPr>
          <w:rFonts w:hint="default"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.3.</w:t>
      </w:r>
      <w:r>
        <w:rPr>
          <w:rFonts w:hint="default" w:ascii="Times New Roman" w:hAnsi="Times New Roman" w:eastAsia="黑体"/>
          <w:b/>
          <w:bCs/>
          <w:kern w:val="0"/>
          <w:szCs w:val="21"/>
          <w:highlight w:val="none"/>
          <w:lang w:val="en-US" w:eastAsia="zh-CN"/>
        </w:rPr>
        <w:t>1</w:t>
      </w:r>
      <w:r>
        <w:rPr>
          <w:rFonts w:hint="eastAsia" w:ascii="Times New Roman" w:hAnsi="Times New Roman" w:eastAsia="黑体"/>
          <w:b/>
          <w:bCs/>
          <w:kern w:val="0"/>
          <w:szCs w:val="21"/>
          <w:highlight w:val="none"/>
          <w:lang w:val="en-US" w:eastAsia="zh-CN"/>
        </w:rPr>
        <w:t>2</w:t>
      </w:r>
      <w:r>
        <w:rPr>
          <w:rFonts w:ascii="Times New Roman" w:hAnsi="Times New Roman" w:eastAsiaTheme="minorEastAsia"/>
          <w:b/>
          <w:szCs w:val="21"/>
          <w:highlight w:val="none"/>
        </w:rPr>
        <w:t xml:space="preserve"> </w:t>
      </w:r>
      <w:r>
        <w:rPr>
          <w:rFonts w:hint="default" w:ascii="Times New Roman" w:hAnsi="Times New Roman" w:eastAsia="宋体" w:cs="Times New Roman"/>
          <w:szCs w:val="21"/>
          <w:highlight w:val="none"/>
        </w:rPr>
        <w:t>承受拔力的群桩基础及其基桩的抗拔承载力</w:t>
      </w:r>
      <w:r>
        <w:rPr>
          <w:rFonts w:hint="eastAsia" w:ascii="Times New Roman" w:hAnsi="Times New Roman" w:cs="Times New Roman"/>
          <w:szCs w:val="21"/>
          <w:highlight w:val="none"/>
          <w:lang w:val="en-US" w:eastAsia="zh-CN"/>
        </w:rPr>
        <w:t>特征值</w:t>
      </w:r>
      <w:r>
        <w:rPr>
          <w:rFonts w:hint="default" w:ascii="Times New Roman" w:hAnsi="Times New Roman" w:eastAsia="宋体" w:cs="Times New Roman"/>
          <w:szCs w:val="21"/>
          <w:highlight w:val="none"/>
        </w:rPr>
        <w:t>应符合下列规定：</w:t>
      </w:r>
    </w:p>
    <w:p w14:paraId="5515B174">
      <w:pPr>
        <w:keepNext w:val="0"/>
        <w:keepLines w:val="0"/>
        <w:pageBreakBefore w:val="0"/>
        <w:kinsoku/>
        <w:wordWrap/>
        <w:overflowPunct/>
        <w:topLinePunct w:val="0"/>
        <w:autoSpaceDE/>
        <w:autoSpaceDN/>
        <w:bidi w:val="0"/>
        <w:adjustRightInd/>
        <w:snapToGrid/>
        <w:spacing w:line="240" w:lineRule="auto"/>
        <w:ind w:firstLine="422" w:firstLineChars="200"/>
        <w:textAlignment w:val="auto"/>
        <w:rPr>
          <w:rFonts w:ascii="Times New Roman" w:hAnsi="Times New Roman" w:eastAsia="宋体" w:cs="Times New Roman"/>
          <w:szCs w:val="21"/>
          <w:highlight w:val="none"/>
        </w:rPr>
      </w:pPr>
      <w:r>
        <w:rPr>
          <w:rFonts w:ascii="Times New Roman" w:hAnsi="Times New Roman" w:eastAsia="黑体"/>
          <w:b/>
          <w:bCs/>
          <w:kern w:val="0"/>
          <w:szCs w:val="21"/>
          <w:highlight w:val="none"/>
        </w:rPr>
        <w:t>1</w:t>
      </w:r>
      <w:r>
        <w:rPr>
          <w:rFonts w:ascii="Times New Roman" w:hAnsi="Times New Roman" w:eastAsia="宋体" w:cs="Times New Roman"/>
          <w:szCs w:val="21"/>
          <w:highlight w:val="none"/>
        </w:rPr>
        <w:t xml:space="preserve"> </w:t>
      </w:r>
      <w:r>
        <w:rPr>
          <w:rFonts w:hint="eastAsia" w:ascii="Times New Roman" w:hAnsi="Times New Roman" w:cs="Times New Roman"/>
          <w:szCs w:val="21"/>
          <w:highlight w:val="none"/>
          <w:lang w:val="en-US" w:eastAsia="zh-CN"/>
        </w:rPr>
        <w:t>对于设计等级为甲级和乙级的桩基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基桩</w:t>
      </w:r>
      <w:r>
        <w:rPr>
          <w:rFonts w:ascii="Times New Roman" w:hAnsi="Times New Roman" w:eastAsia="宋体" w:cs="Times New Roman"/>
          <w:szCs w:val="21"/>
          <w:highlight w:val="none"/>
        </w:rPr>
        <w:t>的抗拔承载力</w:t>
      </w:r>
      <w:r>
        <w:rPr>
          <w:rFonts w:hint="eastAsia" w:ascii="Times New Roman" w:hAnsi="Times New Roman" w:cs="Times New Roman"/>
          <w:szCs w:val="21"/>
          <w:highlight w:val="none"/>
          <w:lang w:val="en-US" w:eastAsia="zh-CN"/>
        </w:rPr>
        <w:t>特征值</w:t>
      </w:r>
      <w:r>
        <w:rPr>
          <w:rFonts w:ascii="Times New Roman" w:hAnsi="Times New Roman" w:eastAsia="宋体" w:cs="Times New Roman"/>
          <w:szCs w:val="21"/>
          <w:highlight w:val="none"/>
        </w:rPr>
        <w:t>应通过现场单桩</w:t>
      </w:r>
      <w:r>
        <w:rPr>
          <w:rFonts w:hint="eastAsia" w:ascii="Times New Roman" w:hAnsi="Times New Roman" w:cs="Times New Roman"/>
          <w:szCs w:val="21"/>
          <w:highlight w:val="none"/>
          <w:lang w:val="en-US" w:eastAsia="zh-CN"/>
        </w:rPr>
        <w:t>竖向抗</w:t>
      </w:r>
      <w:r>
        <w:rPr>
          <w:rFonts w:ascii="Times New Roman" w:hAnsi="Times New Roman" w:eastAsia="宋体" w:cs="Times New Roman"/>
          <w:szCs w:val="21"/>
          <w:highlight w:val="none"/>
        </w:rPr>
        <w:t>拔静载荷试验确定。单桩</w:t>
      </w:r>
      <w:r>
        <w:rPr>
          <w:rFonts w:hint="eastAsia" w:ascii="Times New Roman" w:hAnsi="Times New Roman" w:cs="Times New Roman"/>
          <w:szCs w:val="21"/>
          <w:highlight w:val="none"/>
          <w:lang w:val="en-US" w:eastAsia="zh-CN"/>
        </w:rPr>
        <w:t>竖向抗</w:t>
      </w:r>
      <w:r>
        <w:rPr>
          <w:rFonts w:ascii="Times New Roman" w:hAnsi="Times New Roman" w:eastAsia="宋体" w:cs="Times New Roman"/>
          <w:szCs w:val="21"/>
          <w:highlight w:val="none"/>
        </w:rPr>
        <w:t>拔静载荷试验及抗拔承载力</w:t>
      </w:r>
      <w:r>
        <w:rPr>
          <w:rFonts w:hint="eastAsia" w:ascii="Times New Roman" w:hAnsi="Times New Roman" w:cs="Times New Roman"/>
          <w:szCs w:val="21"/>
          <w:highlight w:val="none"/>
          <w:lang w:val="en-US" w:eastAsia="zh-CN"/>
        </w:rPr>
        <w:t>特征</w:t>
      </w:r>
      <w:r>
        <w:rPr>
          <w:rFonts w:ascii="Times New Roman" w:hAnsi="Times New Roman" w:eastAsia="宋体" w:cs="Times New Roman"/>
          <w:szCs w:val="21"/>
          <w:highlight w:val="none"/>
        </w:rPr>
        <w:t>值取值可按现行行业标准《建筑基桩检测技术规范》JGJ 106进行。</w:t>
      </w:r>
    </w:p>
    <w:p w14:paraId="61AF1C2B">
      <w:pPr>
        <w:keepNext w:val="0"/>
        <w:keepLines w:val="0"/>
        <w:pageBreakBefore w:val="0"/>
        <w:kinsoku/>
        <w:wordWrap/>
        <w:overflowPunct/>
        <w:topLinePunct w:val="0"/>
        <w:autoSpaceDE/>
        <w:autoSpaceDN/>
        <w:bidi w:val="0"/>
        <w:adjustRightInd/>
        <w:snapToGrid/>
        <w:spacing w:line="240" w:lineRule="auto"/>
        <w:ind w:firstLine="422" w:firstLineChars="200"/>
        <w:textAlignment w:val="auto"/>
        <w:rPr>
          <w:rFonts w:ascii="Times New Roman" w:hAnsi="Times New Roman"/>
          <w:szCs w:val="21"/>
          <w:highlight w:val="none"/>
        </w:rPr>
      </w:pPr>
      <w:r>
        <w:rPr>
          <w:rFonts w:ascii="Times New Roman" w:hAnsi="Times New Roman" w:eastAsia="宋体" w:cs="Times New Roman"/>
          <w:b/>
          <w:bCs/>
          <w:szCs w:val="21"/>
          <w:highlight w:val="none"/>
        </w:rPr>
        <w:t>2</w:t>
      </w:r>
      <w:r>
        <w:rPr>
          <w:rFonts w:ascii="Times New Roman" w:hAnsi="Times New Roman" w:eastAsia="宋体" w:cs="Times New Roman"/>
          <w:szCs w:val="21"/>
          <w:highlight w:val="none"/>
        </w:rPr>
        <w:t xml:space="preserve"> </w:t>
      </w:r>
      <w:r>
        <w:rPr>
          <w:rFonts w:ascii="Times New Roman" w:hAnsi="Times New Roman" w:cs="Times New Roman"/>
          <w:szCs w:val="21"/>
          <w:highlight w:val="none"/>
        </w:rPr>
        <w:t>如无当地经验时，群桩基础及设计等级为丙级</w:t>
      </w:r>
      <w:r>
        <w:rPr>
          <w:rFonts w:hint="eastAsia" w:ascii="Times New Roman" w:hAnsi="Times New Roman" w:cs="Times New Roman"/>
          <w:szCs w:val="21"/>
          <w:highlight w:val="none"/>
          <w:lang w:val="en-US" w:eastAsia="zh-CN"/>
        </w:rPr>
        <w:t>的</w:t>
      </w:r>
      <w:r>
        <w:rPr>
          <w:rFonts w:ascii="Times New Roman" w:hAnsi="Times New Roman" w:cs="Times New Roman"/>
          <w:szCs w:val="21"/>
          <w:highlight w:val="none"/>
        </w:rPr>
        <w:t>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构</w:t>
      </w:r>
      <w:r>
        <w:rPr>
          <w:rFonts w:hint="eastAsia" w:ascii="Times New Roman" w:hAnsi="Times New Roman" w:cs="Times New Roman"/>
          <w:szCs w:val="21"/>
          <w:highlight w:val="none"/>
          <w:lang w:eastAsia="zh-CN"/>
        </w:rPr>
        <w:t>）</w:t>
      </w:r>
      <w:r>
        <w:rPr>
          <w:rFonts w:ascii="Times New Roman" w:hAnsi="Times New Roman" w:cs="Times New Roman"/>
          <w:szCs w:val="21"/>
          <w:highlight w:val="none"/>
        </w:rPr>
        <w:t>筑桩基，基桩的抗拔承载力</w:t>
      </w:r>
      <w:r>
        <w:rPr>
          <w:rFonts w:hint="eastAsia" w:ascii="Times New Roman" w:hAnsi="Times New Roman" w:cs="Times New Roman"/>
          <w:szCs w:val="21"/>
          <w:highlight w:val="none"/>
          <w:lang w:val="en-US" w:eastAsia="zh-CN"/>
        </w:rPr>
        <w:t>特征</w:t>
      </w:r>
      <w:r>
        <w:rPr>
          <w:rFonts w:ascii="Times New Roman" w:hAnsi="Times New Roman" w:cs="Times New Roman"/>
          <w:szCs w:val="21"/>
          <w:highlight w:val="none"/>
        </w:rPr>
        <w:t>取值可按下列规定</w:t>
      </w:r>
      <w:r>
        <w:rPr>
          <w:rFonts w:hint="eastAsia" w:ascii="Times New Roman" w:hAnsi="Times New Roman" w:cs="Times New Roman"/>
          <w:szCs w:val="21"/>
          <w:highlight w:val="none"/>
          <w:lang w:val="en-US" w:eastAsia="zh-CN"/>
        </w:rPr>
        <w:t>进行估</w:t>
      </w:r>
      <w:r>
        <w:rPr>
          <w:rFonts w:ascii="Times New Roman" w:hAnsi="Times New Roman" w:cs="Times New Roman"/>
          <w:szCs w:val="21"/>
          <w:highlight w:val="none"/>
        </w:rPr>
        <w:t>算</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并取较小值</w:t>
      </w:r>
      <w:r>
        <w:rPr>
          <w:rFonts w:ascii="Times New Roman" w:hAnsi="Times New Roman" w:cs="Times New Roman"/>
          <w:szCs w:val="21"/>
          <w:highlight w:val="none"/>
        </w:rPr>
        <w:t>：</w:t>
      </w:r>
    </w:p>
    <w:p w14:paraId="61A1C097">
      <w:pPr>
        <w:keepNext w:val="0"/>
        <w:keepLines w:val="0"/>
        <w:pageBreakBefore w:val="0"/>
        <w:numPr>
          <w:ilvl w:val="0"/>
          <w:numId w:val="0"/>
        </w:numPr>
        <w:kinsoku/>
        <w:wordWrap/>
        <w:overflowPunct/>
        <w:topLinePunct w:val="0"/>
        <w:autoSpaceDE/>
        <w:autoSpaceDN/>
        <w:bidi w:val="0"/>
        <w:adjustRightInd/>
        <w:snapToGrid/>
        <w:spacing w:line="240" w:lineRule="auto"/>
        <w:ind w:firstLine="422" w:firstLineChars="200"/>
        <w:jc w:val="left"/>
        <w:textAlignment w:val="auto"/>
        <w:rPr>
          <w:rFonts w:hint="default" w:ascii="Times New Roman" w:hAnsi="Times New Roman" w:eastAsia="宋体" w:cs="Times New Roman"/>
          <w:color w:val="auto"/>
          <w:szCs w:val="21"/>
          <w:highlight w:val="none"/>
        </w:rPr>
      </w:pPr>
      <w:r>
        <w:rPr>
          <w:rFonts w:hint="eastAsia" w:ascii="Times New Roman" w:hAnsi="Times New Roman" w:cs="Times New Roman"/>
          <w:b/>
          <w:bCs/>
          <w:szCs w:val="21"/>
          <w:highlight w:val="none"/>
          <w:lang w:val="en-US" w:eastAsia="zh-CN"/>
        </w:rPr>
        <w:t>1）</w:t>
      </w:r>
      <w:r>
        <w:rPr>
          <w:rFonts w:hint="default" w:ascii="Times New Roman" w:hAnsi="Times New Roman" w:eastAsia="宋体" w:cs="Times New Roman"/>
          <w:color w:val="auto"/>
          <w:szCs w:val="21"/>
          <w:highlight w:val="none"/>
        </w:rPr>
        <w:t>群桩呈非整体破坏时，基桩的抗拔</w:t>
      </w:r>
      <w:r>
        <w:rPr>
          <w:rFonts w:hint="eastAsia" w:ascii="Times New Roman" w:hAnsi="Times New Roman" w:cs="Times New Roman"/>
          <w:color w:val="auto"/>
          <w:szCs w:val="21"/>
          <w:highlight w:val="none"/>
          <w:lang w:val="en-US" w:eastAsia="zh-CN"/>
        </w:rPr>
        <w:t>承载力特征值</w:t>
      </w:r>
      <w:r>
        <w:rPr>
          <w:rFonts w:hint="default" w:ascii="Times New Roman" w:hAnsi="Times New Roman" w:eastAsia="宋体" w:cs="Times New Roman"/>
          <w:color w:val="auto"/>
          <w:szCs w:val="21"/>
          <w:highlight w:val="none"/>
        </w:rPr>
        <w:t>可按下式计算</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并取较小值</w:t>
      </w:r>
      <w:r>
        <w:rPr>
          <w:rFonts w:hint="default" w:ascii="Times New Roman" w:hAnsi="Times New Roman" w:eastAsia="宋体" w:cs="Times New Roman"/>
          <w:color w:val="auto"/>
          <w:szCs w:val="21"/>
          <w:highlight w:val="none"/>
        </w:rPr>
        <w:t>：</w:t>
      </w:r>
    </w:p>
    <w:p w14:paraId="1680199A">
      <w:pPr>
        <w:keepNext w:val="0"/>
        <w:keepLines w:val="0"/>
        <w:pageBreakBefore w:val="0"/>
        <w:widowControl w:val="0"/>
        <w:tabs>
          <w:tab w:val="left" w:pos="2757"/>
          <w:tab w:val="left" w:pos="6940"/>
        </w:tabs>
        <w:kinsoku/>
        <w:wordWrap/>
        <w:overflowPunct/>
        <w:topLinePunct w:val="0"/>
        <w:autoSpaceDE/>
        <w:autoSpaceDN/>
        <w:bidi w:val="0"/>
        <w:adjustRightInd/>
        <w:snapToGrid/>
        <w:spacing w:before="157" w:beforeLines="50" w:after="157" w:afterLines="50" w:line="240" w:lineRule="exact"/>
        <w:jc w:val="right"/>
        <w:textAlignment w:val="auto"/>
        <w:rPr>
          <w:rFonts w:hint="eastAsia" w:ascii="Times New Roman" w:hAnsi="Times New Roman" w:cs="Times New Roman"/>
          <w:bCs/>
          <w:szCs w:val="21"/>
          <w:highlight w:val="none"/>
          <w:lang w:val="en-US" w:eastAsia="zh-CN"/>
        </w:rPr>
      </w:pPr>
      <w:r>
        <w:rPr>
          <w:rFonts w:hint="default" w:ascii="Times New Roman" w:hAnsi="Times New Roman" w:cs="Times New Roman" w:eastAsiaTheme="minorEastAsia"/>
          <w:position w:val="-14"/>
          <w:szCs w:val="21"/>
          <w:highlight w:val="none"/>
        </w:rPr>
        <w:object>
          <v:shape id="_x0000_i1138" o:spt="75" type="#_x0000_t75" style="height:21.3pt;width:141.95pt;" o:ole="t" filled="f" o:preferrelative="t" stroked="f" coordsize="21600,21600">
            <v:path/>
            <v:fill on="f" focussize="0,0"/>
            <v:stroke on="f"/>
            <v:imagedata r:id="rId232" o:title=""/>
            <o:lock v:ext="edit" aspectratio="t"/>
            <w10:wrap type="none"/>
            <w10:anchorlock/>
          </v:shape>
          <o:OLEObject Type="Embed" ProgID="Equation.3" ShapeID="_x0000_i1138" DrawAspect="Content" ObjectID="_1468075838" r:id="rId231">
            <o:LockedField>false</o:LockedField>
          </o:OLEObject>
        </w:object>
      </w:r>
      <w:r>
        <w:rPr>
          <w:highlight w:val="none"/>
        </w:rPr>
        <w:t xml:space="preserve">     </w:t>
      </w:r>
      <w:r>
        <w:rPr>
          <w:rFonts w:hint="eastAsia" w:ascii="Times New Roman" w:hAnsi="Times New Roman" w:cs="Times New Roman"/>
          <w:bCs/>
          <w:szCs w:val="21"/>
          <w:highlight w:val="none"/>
          <w:lang w:val="en-US" w:eastAsia="zh-CN"/>
        </w:rPr>
        <w:t>（4. 3.12-1）</w:t>
      </w:r>
    </w:p>
    <w:p w14:paraId="30D088C4">
      <w:pPr>
        <w:keepNext w:val="0"/>
        <w:keepLines w:val="0"/>
        <w:pageBreakBefore w:val="0"/>
        <w:widowControl w:val="0"/>
        <w:tabs>
          <w:tab w:val="left" w:pos="2977"/>
          <w:tab w:val="left" w:pos="6940"/>
        </w:tabs>
        <w:kinsoku/>
        <w:wordWrap/>
        <w:overflowPunct/>
        <w:topLinePunct w:val="0"/>
        <w:autoSpaceDE/>
        <w:autoSpaceDN/>
        <w:bidi w:val="0"/>
        <w:adjustRightInd/>
        <w:snapToGrid/>
        <w:spacing w:before="157" w:beforeLines="50" w:after="157" w:afterLines="50" w:line="360" w:lineRule="exact"/>
        <w:jc w:val="right"/>
        <w:textAlignment w:val="auto"/>
        <w:rPr>
          <w:rFonts w:hint="eastAsia" w:ascii="Times New Roman" w:hAnsi="Times New Roman" w:cs="Times New Roman"/>
          <w:bCs/>
          <w:szCs w:val="21"/>
          <w:highlight w:val="none"/>
          <w:lang w:val="en-US" w:eastAsia="zh-CN"/>
        </w:rPr>
      </w:pPr>
      <w:r>
        <w:rPr>
          <w:rFonts w:hint="default" w:ascii="Times New Roman" w:hAnsi="Times New Roman" w:cs="Times New Roman" w:eastAsiaTheme="minorEastAsia"/>
          <w:position w:val="-14"/>
          <w:szCs w:val="21"/>
          <w:highlight w:val="none"/>
        </w:rPr>
        <w:object>
          <v:shape id="_x0000_i1139" o:spt="75" type="#_x0000_t75" style="height:20pt;width:128pt;" o:ole="t" filled="f" o:preferrelative="t" stroked="f" coordsize="21600,21600">
            <v:path/>
            <v:fill on="f" focussize="0,0"/>
            <v:stroke on="f"/>
            <v:imagedata r:id="rId234" o:title=""/>
            <o:lock v:ext="edit" aspectratio="t"/>
            <w10:wrap type="none"/>
            <w10:anchorlock/>
          </v:shape>
          <o:OLEObject Type="Embed" ProgID="Equation.3" ShapeID="_x0000_i1139" DrawAspect="Content" ObjectID="_1468075839" r:id="rId233">
            <o:LockedField>false</o:LockedField>
          </o:OLEObject>
        </w:object>
      </w:r>
      <w:r>
        <w:rPr>
          <w:highlight w:val="none"/>
        </w:rPr>
        <w:t xml:space="preserve"> </w:t>
      </w:r>
      <w:r>
        <w:rPr>
          <w:rFonts w:hint="eastAsia"/>
          <w:highlight w:val="none"/>
          <w:lang w:val="en-US" w:eastAsia="zh-CN"/>
        </w:rPr>
        <w:t xml:space="preserve">  </w:t>
      </w:r>
      <w:r>
        <w:rPr>
          <w:highlight w:val="none"/>
        </w:rPr>
        <w:t xml:space="preserve">   </w:t>
      </w:r>
      <w:r>
        <w:rPr>
          <w:rFonts w:hint="eastAsia" w:ascii="Times New Roman" w:hAnsi="Times New Roman" w:cs="Times New Roman"/>
          <w:bCs/>
          <w:szCs w:val="21"/>
          <w:highlight w:val="none"/>
          <w:lang w:val="en-US" w:eastAsia="zh-CN"/>
        </w:rPr>
        <w:t>（4. 3.12-2）</w:t>
      </w:r>
    </w:p>
    <w:p w14:paraId="020DCC93">
      <w:pPr>
        <w:keepNext w:val="0"/>
        <w:keepLines w:val="0"/>
        <w:pageBreakBefore w:val="0"/>
        <w:widowControl w:val="0"/>
        <w:kinsoku/>
        <w:wordWrap/>
        <w:overflowPunct/>
        <w:topLinePunct w:val="0"/>
        <w:autoSpaceDE/>
        <w:autoSpaceDN/>
        <w:bidi w:val="0"/>
        <w:adjustRightInd/>
        <w:snapToGrid/>
        <w:spacing w:before="79" w:beforeLines="25" w:after="79" w:afterLines="25" w:line="312" w:lineRule="exact"/>
        <w:jc w:val="left"/>
        <w:textAlignment w:val="auto"/>
        <w:rPr>
          <w:rFonts w:ascii="Times New Roman" w:hAnsi="Times New Roman" w:eastAsiaTheme="minorEastAsia"/>
          <w:szCs w:val="21"/>
          <w:highlight w:val="none"/>
        </w:rPr>
      </w:pPr>
      <w:r>
        <w:rPr>
          <w:rFonts w:hint="eastAsia"/>
          <w:szCs w:val="24"/>
          <w:highlight w:val="none"/>
        </w:rPr>
        <w:t>式中：</w:t>
      </w:r>
      <w:r>
        <w:rPr>
          <w:rFonts w:ascii="Times New Roman" w:hAnsi="Times New Roman" w:eastAsiaTheme="minorEastAsia"/>
          <w:position w:val="-12"/>
          <w:szCs w:val="21"/>
          <w:highlight w:val="none"/>
        </w:rPr>
        <w:object>
          <v:shape id="_x0000_i1140" o:spt="75" type="#_x0000_t75" style="height:18pt;width:13.95pt;" o:ole="t" filled="f" o:preferrelative="t" stroked="f" coordsize="21600,21600">
            <v:path/>
            <v:fill on="f" focussize="0,0"/>
            <v:stroke on="f"/>
            <v:imagedata r:id="rId49" o:title=""/>
            <o:lock v:ext="edit" aspectratio="t"/>
            <w10:wrap type="none"/>
            <w10:anchorlock/>
          </v:shape>
          <o:OLEObject Type="Embed" ProgID="Equation.3" ShapeID="_x0000_i1140" DrawAspect="Content" ObjectID="_1468075840" r:id="rId235">
            <o:LockedField>false</o:LockedField>
          </o:OLEObject>
        </w:object>
      </w:r>
      <w:r>
        <w:rPr>
          <w:rFonts w:ascii="Times New Roman" w:hAnsi="Times New Roman" w:eastAsiaTheme="minorEastAsia"/>
          <w:szCs w:val="21"/>
          <w:highlight w:val="none"/>
        </w:rPr>
        <w:t xml:space="preserve">  </w:t>
      </w:r>
      <w:r>
        <w:rPr>
          <w:rFonts w:ascii="Times New Roman" w:hAnsi="Times New Roman" w:cs="Times New Roman" w:eastAsiaTheme="minorEastAsia"/>
          <w:szCs w:val="21"/>
          <w:highlight w:val="none"/>
          <w:shd w:val="clear" w:color="auto" w:fill="FFFFFF"/>
        </w:rPr>
        <w:t>——</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单</w:t>
      </w:r>
      <w:r>
        <w:rPr>
          <w:rFonts w:ascii="Times New Roman" w:hAnsi="Times New Roman" w:eastAsiaTheme="minorEastAsia"/>
          <w:szCs w:val="21"/>
          <w:highlight w:val="none"/>
        </w:rPr>
        <w:t>桩</w:t>
      </w:r>
      <w:r>
        <w:rPr>
          <w:rFonts w:hint="eastAsia" w:ascii="Times New Roman" w:hAnsi="Times New Roman" w:eastAsiaTheme="minorEastAsia"/>
          <w:szCs w:val="21"/>
          <w:highlight w:val="none"/>
          <w:lang w:val="en-US" w:eastAsia="zh-CN"/>
        </w:rPr>
        <w:t>抗拔</w:t>
      </w:r>
      <w:r>
        <w:rPr>
          <w:rFonts w:ascii="Times New Roman" w:hAnsi="Times New Roman" w:eastAsiaTheme="minorEastAsia"/>
          <w:szCs w:val="21"/>
          <w:highlight w:val="none"/>
        </w:rPr>
        <w:t>承载力特征值；</w:t>
      </w:r>
    </w:p>
    <w:p w14:paraId="0CA43D6E">
      <w:pPr>
        <w:keepNext w:val="0"/>
        <w:keepLines w:val="0"/>
        <w:pageBreakBefore w:val="0"/>
        <w:widowControl w:val="0"/>
        <w:tabs>
          <w:tab w:val="left" w:pos="2977"/>
          <w:tab w:val="left" w:pos="6940"/>
        </w:tabs>
        <w:kinsoku/>
        <w:wordWrap/>
        <w:overflowPunct/>
        <w:topLinePunct w:val="0"/>
        <w:autoSpaceDE/>
        <w:autoSpaceDN/>
        <w:bidi w:val="0"/>
        <w:adjustRightInd/>
        <w:snapToGrid/>
        <w:spacing w:line="360" w:lineRule="exact"/>
        <w:ind w:left="0" w:hanging="1260" w:hangingChars="600"/>
        <w:jc w:val="left"/>
        <w:textAlignment w:val="auto"/>
        <w:rPr>
          <w:rFonts w:hint="eastAsia"/>
          <w:szCs w:val="24"/>
          <w:highlight w:val="none"/>
        </w:rPr>
      </w:pPr>
    </w:p>
    <w:p w14:paraId="2AB737C5">
      <w:pPr>
        <w:keepNext w:val="0"/>
        <w:keepLines w:val="0"/>
        <w:pageBreakBefore w:val="0"/>
        <w:widowControl w:val="0"/>
        <w:tabs>
          <w:tab w:val="left" w:pos="2977"/>
          <w:tab w:val="left" w:pos="6940"/>
        </w:tabs>
        <w:kinsoku/>
        <w:wordWrap/>
        <w:overflowPunct/>
        <w:topLinePunct w:val="0"/>
        <w:autoSpaceDE/>
        <w:autoSpaceDN/>
        <w:bidi w:val="0"/>
        <w:adjustRightInd/>
        <w:snapToGrid/>
        <w:spacing w:line="360" w:lineRule="exact"/>
        <w:ind w:left="1260" w:leftChars="300" w:hanging="630" w:hangingChars="300"/>
        <w:jc w:val="left"/>
        <w:textAlignment w:val="auto"/>
        <w:rPr>
          <w:rFonts w:hint="eastAsia"/>
          <w:highlight w:val="none"/>
        </w:rPr>
      </w:pPr>
      <w:r>
        <w:rPr>
          <w:rFonts w:hint="default" w:ascii="Times New Roman" w:hAnsi="Times New Roman" w:cs="Times New Roman" w:eastAsiaTheme="minorEastAsia"/>
          <w:position w:val="-10"/>
          <w:szCs w:val="21"/>
          <w:highlight w:val="none"/>
        </w:rPr>
        <w:object>
          <v:shape id="_x0000_i1141" o:spt="75" type="#_x0000_t75" style="height:17pt;width:13pt;" o:ole="t" filled="f" o:preferrelative="t" stroked="f" coordsize="21600,21600">
            <v:path/>
            <v:fill on="f" focussize="0,0"/>
            <v:stroke on="f"/>
            <v:imagedata r:id="rId237" o:title=""/>
            <o:lock v:ext="edit" aspectratio="t"/>
            <w10:wrap type="none"/>
            <w10:anchorlock/>
          </v:shape>
          <o:OLEObject Type="Embed" ProgID="Equation.3" ShapeID="_x0000_i1141" DrawAspect="Content" ObjectID="_1468075841" r:id="rId236">
            <o:LockedField>false</o:LockedField>
          </o:OLEObject>
        </w:object>
      </w:r>
      <w:r>
        <w:rPr>
          <w:rFonts w:ascii="Times New Roman" w:hAnsi="Times New Roman" w:eastAsia="宋体" w:cs="Times New Roman"/>
          <w:bCs/>
          <w:szCs w:val="21"/>
          <w:highlight w:val="none"/>
        </w:rPr>
        <w:t>——</w:t>
      </w:r>
      <w:r>
        <w:rPr>
          <w:rFonts w:hint="eastAsia" w:ascii="Times New Roman" w:hAnsi="Times New Roman" w:cs="Times New Roman"/>
          <w:bCs/>
          <w:szCs w:val="21"/>
          <w:highlight w:val="none"/>
          <w:lang w:val="en-US" w:eastAsia="zh-CN"/>
        </w:rPr>
        <w:t>芯</w:t>
      </w:r>
      <w:r>
        <w:rPr>
          <w:rFonts w:hint="eastAsia"/>
          <w:highlight w:val="none"/>
        </w:rPr>
        <w:t>桩从外芯中拔出的抗拔系数，如无试验数据时，可取</w:t>
      </w:r>
      <w:r>
        <w:rPr>
          <w:rFonts w:ascii="Times New Roman" w:hAnsi="Times New Roman" w:eastAsia="宋体" w:cs="Times New Roman"/>
          <w:szCs w:val="21"/>
          <w:highlight w:val="none"/>
        </w:rPr>
        <w:t>0.8</w:t>
      </w:r>
      <w:r>
        <w:rPr>
          <w:rFonts w:hint="eastAsia"/>
          <w:highlight w:val="none"/>
        </w:rPr>
        <w:t>；</w:t>
      </w:r>
    </w:p>
    <w:p w14:paraId="7A7DD663">
      <w:pPr>
        <w:keepNext w:val="0"/>
        <w:keepLines w:val="0"/>
        <w:pageBreakBefore w:val="0"/>
        <w:widowControl w:val="0"/>
        <w:tabs>
          <w:tab w:val="left" w:pos="2977"/>
          <w:tab w:val="left" w:pos="6940"/>
        </w:tabs>
        <w:kinsoku/>
        <w:wordWrap/>
        <w:overflowPunct/>
        <w:topLinePunct w:val="0"/>
        <w:autoSpaceDE/>
        <w:autoSpaceDN/>
        <w:bidi w:val="0"/>
        <w:adjustRightInd/>
        <w:snapToGrid/>
        <w:spacing w:line="300" w:lineRule="exact"/>
        <w:ind w:left="1260" w:leftChars="300" w:hanging="630" w:hangingChars="300"/>
        <w:jc w:val="left"/>
        <w:textAlignment w:val="auto"/>
        <w:rPr>
          <w:rFonts w:hint="eastAsia"/>
          <w:highlight w:val="none"/>
        </w:rPr>
      </w:pPr>
      <w:r>
        <w:rPr>
          <w:rFonts w:hint="default" w:ascii="Times New Roman" w:hAnsi="Times New Roman" w:cs="Times New Roman" w:eastAsiaTheme="minorEastAsia"/>
          <w:position w:val="-12"/>
          <w:szCs w:val="21"/>
          <w:highlight w:val="none"/>
        </w:rPr>
        <w:object>
          <v:shape id="_x0000_i1142" o:spt="75" type="#_x0000_t75" style="height:18pt;width:12pt;" o:ole="t" filled="f" o:preferrelative="t" stroked="f" coordsize="21600,21600">
            <v:path/>
            <v:fill on="f" focussize="0,0"/>
            <v:stroke on="f"/>
            <v:imagedata r:id="rId239" o:title=""/>
            <o:lock v:ext="edit" aspectratio="t"/>
            <w10:wrap type="none"/>
            <w10:anchorlock/>
          </v:shape>
          <o:OLEObject Type="Embed" ProgID="Equation.3" ShapeID="_x0000_i1142" DrawAspect="Content" ObjectID="_1468075842" r:id="rId238">
            <o:LockedField>false</o:LockedField>
          </o:OLEObject>
        </w:object>
      </w:r>
      <w:r>
        <w:rPr>
          <w:rFonts w:ascii="Times New Roman" w:hAnsi="Times New Roman" w:eastAsia="宋体" w:cs="Times New Roman"/>
          <w:bCs/>
          <w:szCs w:val="21"/>
          <w:highlight w:val="none"/>
        </w:rPr>
        <w:t>——</w:t>
      </w:r>
      <w:r>
        <w:rPr>
          <w:rFonts w:hint="eastAsia"/>
          <w:highlight w:val="none"/>
        </w:rPr>
        <w:t>外芯从岩土中拔出的抗拔系数，如无试验数据时，可按本</w:t>
      </w:r>
      <w:r>
        <w:rPr>
          <w:rFonts w:hint="eastAsia"/>
          <w:highlight w:val="none"/>
          <w:lang w:val="en-US" w:eastAsia="zh-CN"/>
        </w:rPr>
        <w:t>规范</w:t>
      </w:r>
      <w:r>
        <w:rPr>
          <w:rFonts w:hint="eastAsia"/>
          <w:highlight w:val="none"/>
        </w:rPr>
        <w:t>表</w:t>
      </w:r>
      <w:r>
        <w:rPr>
          <w:rFonts w:hint="eastAsia" w:ascii="Times New Roman" w:hAnsi="Times New Roman" w:eastAsia="宋体" w:cs="Times New Roman"/>
          <w:szCs w:val="21"/>
          <w:highlight w:val="none"/>
          <w:lang w:val="en-US" w:eastAsia="zh-CN"/>
        </w:rPr>
        <w:t>4</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val="en-US" w:eastAsia="zh-CN"/>
        </w:rPr>
        <w:t>3</w:t>
      </w:r>
      <w:r>
        <w:rPr>
          <w:rFonts w:ascii="Times New Roman" w:hAnsi="Times New Roman" w:eastAsia="宋体" w:cs="Times New Roman"/>
          <w:szCs w:val="21"/>
          <w:highlight w:val="none"/>
        </w:rPr>
        <w:t>.1</w:t>
      </w:r>
      <w:r>
        <w:rPr>
          <w:rFonts w:hint="eastAsia" w:ascii="Times New Roman" w:hAnsi="Times New Roman" w:cs="Times New Roman"/>
          <w:szCs w:val="21"/>
          <w:highlight w:val="none"/>
          <w:lang w:val="en-US" w:eastAsia="zh-CN"/>
        </w:rPr>
        <w:t>2</w:t>
      </w:r>
      <w:r>
        <w:rPr>
          <w:rFonts w:hint="eastAsia"/>
          <w:highlight w:val="none"/>
        </w:rPr>
        <w:t>取值；</w:t>
      </w:r>
    </w:p>
    <w:p w14:paraId="4C6DC529">
      <w:pPr>
        <w:keepNext w:val="0"/>
        <w:keepLines w:val="0"/>
        <w:pageBreakBefore w:val="0"/>
        <w:widowControl w:val="0"/>
        <w:tabs>
          <w:tab w:val="left" w:pos="2977"/>
          <w:tab w:val="left" w:pos="6940"/>
        </w:tabs>
        <w:kinsoku/>
        <w:wordWrap/>
        <w:overflowPunct/>
        <w:topLinePunct w:val="0"/>
        <w:autoSpaceDE/>
        <w:autoSpaceDN/>
        <w:bidi w:val="0"/>
        <w:adjustRightInd/>
        <w:snapToGrid/>
        <w:spacing w:line="400" w:lineRule="exact"/>
        <w:ind w:firstLine="630" w:firstLineChars="300"/>
        <w:jc w:val="left"/>
        <w:textAlignment w:val="auto"/>
        <w:rPr>
          <w:rFonts w:hint="default" w:eastAsia="宋体"/>
          <w:highlight w:val="none"/>
          <w:lang w:val="en-US" w:eastAsia="zh-CN"/>
        </w:rPr>
      </w:pPr>
      <w:r>
        <w:rPr>
          <w:rFonts w:hint="default" w:ascii="Times New Roman" w:hAnsi="Times New Roman" w:cs="Times New Roman" w:eastAsiaTheme="minorEastAsia"/>
          <w:position w:val="-12"/>
          <w:szCs w:val="21"/>
          <w:highlight w:val="none"/>
        </w:rPr>
        <w:object>
          <v:shape id="_x0000_i1143" o:spt="75" type="#_x0000_t75" style="height:18pt;width:13pt;" o:ole="t" filled="f" o:preferrelative="t" stroked="f" coordsize="21600,21600">
            <v:path/>
            <v:fill on="f" focussize="0,0"/>
            <v:stroke on="f"/>
            <v:imagedata r:id="rId241" o:title=""/>
            <o:lock v:ext="edit" aspectratio="t"/>
            <w10:wrap type="none"/>
            <w10:anchorlock/>
          </v:shape>
          <o:OLEObject Type="Embed" ProgID="Equation.3" ShapeID="_x0000_i1143" DrawAspect="Content" ObjectID="_1468075843" r:id="rId240">
            <o:LockedField>false</o:LockedField>
          </o:OLEObject>
        </w:object>
      </w:r>
      <w:r>
        <w:rPr>
          <w:rFonts w:ascii="Times New Roman" w:hAnsi="Times New Roman" w:eastAsia="宋体" w:cs="Times New Roman"/>
          <w:bCs/>
          <w:szCs w:val="21"/>
          <w:highlight w:val="none"/>
        </w:rPr>
        <w:t>——</w:t>
      </w:r>
      <w:r>
        <w:rPr>
          <w:rFonts w:hint="eastAsia" w:ascii="Times New Roman" w:hAnsi="Times New Roman" w:cs="Times New Roman"/>
          <w:bCs/>
          <w:szCs w:val="21"/>
          <w:highlight w:val="none"/>
          <w:lang w:val="en-US" w:eastAsia="zh-CN"/>
        </w:rPr>
        <w:t>芯桩</w:t>
      </w:r>
      <w:r>
        <w:rPr>
          <w:rFonts w:hint="eastAsia"/>
          <w:highlight w:val="none"/>
        </w:rPr>
        <w:t>周长</w:t>
      </w:r>
      <w:r>
        <w:rPr>
          <w:rFonts w:hint="eastAsia" w:ascii="Times New Roman" w:hAnsi="Times New Roman" w:eastAsia="宋体" w:cs="Times New Roman"/>
          <w:szCs w:val="21"/>
          <w:highlight w:val="none"/>
        </w:rPr>
        <w:t>（m）</w:t>
      </w:r>
      <w:r>
        <w:rPr>
          <w:rFonts w:hint="eastAsia"/>
          <w:highlight w:val="none"/>
        </w:rPr>
        <w:t>；</w:t>
      </w:r>
    </w:p>
    <w:p w14:paraId="3D2D94AE">
      <w:pPr>
        <w:keepNext w:val="0"/>
        <w:keepLines w:val="0"/>
        <w:pageBreakBefore w:val="0"/>
        <w:widowControl w:val="0"/>
        <w:tabs>
          <w:tab w:val="left" w:pos="2977"/>
          <w:tab w:val="left" w:pos="6940"/>
        </w:tabs>
        <w:kinsoku/>
        <w:wordWrap/>
        <w:overflowPunct/>
        <w:topLinePunct w:val="0"/>
        <w:autoSpaceDE/>
        <w:autoSpaceDN/>
        <w:bidi w:val="0"/>
        <w:adjustRightInd/>
        <w:snapToGrid/>
        <w:spacing w:line="300" w:lineRule="exact"/>
        <w:ind w:left="1438" w:leftChars="285" w:hanging="840" w:hangingChars="400"/>
        <w:jc w:val="left"/>
        <w:textAlignment w:val="auto"/>
        <w:rPr>
          <w:highlight w:val="none"/>
        </w:rPr>
      </w:pPr>
      <w:r>
        <w:rPr>
          <w:rFonts w:hint="default" w:ascii="Times New Roman" w:hAnsi="Times New Roman" w:cs="Times New Roman" w:eastAsiaTheme="minorEastAsia"/>
          <w:position w:val="-12"/>
          <w:szCs w:val="21"/>
          <w:highlight w:val="none"/>
        </w:rPr>
        <w:object>
          <v:shape id="_x0000_i1144" o:spt="75" type="#_x0000_t75" style="height:18pt;width:18pt;" o:ole="t" filled="f" o:preferrelative="t" stroked="f" coordsize="21600,21600">
            <v:path/>
            <v:fill on="f" focussize="0,0"/>
            <v:stroke on="f"/>
            <v:imagedata r:id="rId243" o:title=""/>
            <o:lock v:ext="edit" aspectratio="t"/>
            <w10:wrap type="none"/>
            <w10:anchorlock/>
          </v:shape>
          <o:OLEObject Type="Embed" ProgID="Equation.3" ShapeID="_x0000_i1144" DrawAspect="Content" ObjectID="_1468075844" r:id="rId242">
            <o:LockedField>false</o:LockedField>
          </o:OLEObject>
        </w:object>
      </w:r>
      <w:r>
        <w:rPr>
          <w:rFonts w:ascii="Times New Roman" w:hAnsi="Times New Roman" w:eastAsia="宋体" w:cs="Times New Roman"/>
          <w:bCs/>
          <w:szCs w:val="21"/>
          <w:highlight w:val="none"/>
        </w:rPr>
        <w:t>——</w:t>
      </w:r>
      <w:r>
        <w:rPr>
          <w:rFonts w:hint="eastAsia"/>
          <w:highlight w:val="none"/>
        </w:rPr>
        <w:t>第</w:t>
      </w:r>
      <w:r>
        <w:rPr>
          <w:rFonts w:hint="eastAsia" w:eastAsia="Times New Roman"/>
          <w:i/>
          <w:highlight w:val="none"/>
        </w:rPr>
        <w:t>i</w:t>
      </w:r>
      <w:r>
        <w:rPr>
          <w:rFonts w:hint="eastAsia"/>
          <w:highlight w:val="none"/>
        </w:rPr>
        <w:t>层土</w:t>
      </w:r>
      <w:r>
        <w:rPr>
          <w:rFonts w:hint="eastAsia"/>
          <w:highlight w:val="none"/>
          <w:lang w:val="en-US" w:eastAsia="zh-CN"/>
        </w:rPr>
        <w:t>处，内</w:t>
      </w:r>
      <w:r>
        <w:rPr>
          <w:rFonts w:hint="eastAsia"/>
          <w:highlight w:val="none"/>
        </w:rPr>
        <w:t>外芯界面的极限侧阻力标准值（</w:t>
      </w:r>
      <w:r>
        <w:rPr>
          <w:rFonts w:hint="eastAsia" w:ascii="Times New Roman" w:hAnsi="Times New Roman" w:eastAsia="宋体" w:cs="Times New Roman"/>
          <w:szCs w:val="21"/>
          <w:highlight w:val="none"/>
        </w:rPr>
        <w:t>kPa）</w:t>
      </w:r>
      <w:r>
        <w:rPr>
          <w:rFonts w:hint="eastAsia" w:ascii="Times New Roman" w:hAnsi="Times New Roman" w:cs="Times New Roman"/>
          <w:szCs w:val="21"/>
          <w:highlight w:val="none"/>
          <w:lang w:eastAsia="zh-CN"/>
        </w:rPr>
        <w:t>，</w:t>
      </w:r>
      <w:r>
        <w:rPr>
          <w:rFonts w:hint="eastAsia" w:ascii="宋体" w:hAnsi="宋体"/>
          <w:bCs/>
          <w:szCs w:val="21"/>
          <w:highlight w:val="none"/>
          <w:lang w:val="en-US" w:eastAsia="zh-CN"/>
        </w:rPr>
        <w:t>预制桩植桩内外芯之间的侧摩阻力标准值通常按外芯强度的8</w:t>
      </w:r>
      <w:r>
        <w:rPr>
          <w:rFonts w:hint="eastAsia" w:ascii="Times New Roman" w:hAnsi="Times New Roman" w:cs="Times New Roman"/>
          <w:bCs/>
          <w:szCs w:val="21"/>
          <w:highlight w:val="none"/>
          <w:lang w:val="en-US" w:eastAsia="zh-CN"/>
        </w:rPr>
        <w:t>%~16%</w:t>
      </w:r>
      <w:r>
        <w:rPr>
          <w:rFonts w:hint="eastAsia" w:ascii="宋体" w:hAnsi="宋体"/>
          <w:bCs/>
          <w:szCs w:val="21"/>
          <w:highlight w:val="none"/>
          <w:lang w:val="en-US" w:eastAsia="zh-CN"/>
        </w:rPr>
        <w:t>取值</w:t>
      </w:r>
      <w:r>
        <w:rPr>
          <w:highlight w:val="none"/>
        </w:rPr>
        <w:t>；</w:t>
      </w:r>
    </w:p>
    <w:p w14:paraId="5AA21F75">
      <w:pPr>
        <w:keepNext w:val="0"/>
        <w:keepLines w:val="0"/>
        <w:pageBreakBefore w:val="0"/>
        <w:widowControl w:val="0"/>
        <w:tabs>
          <w:tab w:val="left" w:pos="2977"/>
          <w:tab w:val="left" w:pos="6940"/>
        </w:tabs>
        <w:kinsoku/>
        <w:wordWrap/>
        <w:overflowPunct/>
        <w:topLinePunct w:val="0"/>
        <w:autoSpaceDE/>
        <w:autoSpaceDN/>
        <w:bidi w:val="0"/>
        <w:adjustRightInd/>
        <w:snapToGrid/>
        <w:spacing w:line="300" w:lineRule="exact"/>
        <w:ind w:left="1438" w:leftChars="285" w:hanging="840" w:hangingChars="400"/>
        <w:jc w:val="left"/>
        <w:textAlignment w:val="auto"/>
        <w:rPr>
          <w:rFonts w:hint="eastAsia"/>
          <w:highlight w:val="none"/>
        </w:rPr>
      </w:pPr>
      <w:r>
        <w:rPr>
          <w:rFonts w:hint="default" w:ascii="Times New Roman" w:hAnsi="Times New Roman" w:cs="Times New Roman" w:eastAsiaTheme="minorEastAsia"/>
          <w:position w:val="-12"/>
          <w:szCs w:val="21"/>
          <w:highlight w:val="none"/>
        </w:rPr>
        <w:object>
          <v:shape id="_x0000_i1145" o:spt="75" type="#_x0000_t75" style="height:18pt;width:19pt;" o:ole="t" filled="f" o:preferrelative="t" stroked="f" coordsize="21600,21600">
            <v:path/>
            <v:fill on="f" focussize="0,0"/>
            <v:stroke on="f"/>
            <v:imagedata r:id="rId245" o:title=""/>
            <o:lock v:ext="edit" aspectratio="t"/>
            <w10:wrap type="none"/>
            <w10:anchorlock/>
          </v:shape>
          <o:OLEObject Type="Embed" ProgID="Equation.3" ShapeID="_x0000_i1145" DrawAspect="Content" ObjectID="_1468075845" r:id="rId244">
            <o:LockedField>false</o:LockedField>
          </o:OLEObject>
        </w:object>
      </w:r>
      <w:r>
        <w:rPr>
          <w:rFonts w:ascii="Times New Roman" w:hAnsi="Times New Roman" w:eastAsia="宋体" w:cs="Times New Roman"/>
          <w:bCs/>
          <w:szCs w:val="21"/>
          <w:highlight w:val="none"/>
        </w:rPr>
        <w:t>——</w:t>
      </w:r>
      <w:r>
        <w:rPr>
          <w:rFonts w:hint="eastAsia" w:ascii="Times New Roman" w:hAnsi="Times New Roman" w:eastAsiaTheme="minorEastAsia"/>
          <w:szCs w:val="21"/>
          <w:highlight w:val="none"/>
          <w:lang w:val="en-US" w:eastAsia="zh-CN"/>
        </w:rPr>
        <w:t>桩侧</w:t>
      </w:r>
      <w:r>
        <w:rPr>
          <w:rFonts w:hint="eastAsia"/>
          <w:bCs/>
          <w:szCs w:val="18"/>
          <w:highlight w:val="none"/>
        </w:rPr>
        <w:t>第</w:t>
      </w:r>
      <w:r>
        <w:rPr>
          <w:bCs/>
          <w:i/>
          <w:iCs/>
          <w:szCs w:val="18"/>
          <w:highlight w:val="none"/>
        </w:rPr>
        <w:t>i</w:t>
      </w:r>
      <w:r>
        <w:rPr>
          <w:rFonts w:hint="eastAsia"/>
          <w:bCs/>
          <w:szCs w:val="18"/>
          <w:highlight w:val="none"/>
        </w:rPr>
        <w:t>土层极限侧阻力标准值</w:t>
      </w:r>
      <w:r>
        <w:rPr>
          <w:rFonts w:hint="eastAsia"/>
          <w:bCs/>
          <w:szCs w:val="18"/>
          <w:highlight w:val="none"/>
          <w:lang w:eastAsia="zh-CN"/>
        </w:rPr>
        <w:t>（</w:t>
      </w:r>
      <w:r>
        <w:rPr>
          <w:rFonts w:hint="default" w:ascii="Times New Roman" w:hAnsi="Times New Roman" w:cs="Times New Roman"/>
          <w:bCs/>
          <w:szCs w:val="18"/>
          <w:highlight w:val="none"/>
        </w:rPr>
        <w:t>kPa</w:t>
      </w:r>
      <w:r>
        <w:rPr>
          <w:rFonts w:hint="eastAsia"/>
          <w:bCs/>
          <w:szCs w:val="18"/>
          <w:highlight w:val="none"/>
          <w:lang w:eastAsia="zh-CN"/>
        </w:rPr>
        <w:t>），</w:t>
      </w:r>
      <w:r>
        <w:rPr>
          <w:rFonts w:hint="eastAsia"/>
          <w:bCs/>
          <w:szCs w:val="18"/>
          <w:highlight w:val="none"/>
        </w:rPr>
        <w:t>宜按现场试验或经验取值，当采用植入法时</w:t>
      </w:r>
      <w:r>
        <w:rPr>
          <w:rFonts w:hint="eastAsia"/>
          <w:bCs/>
          <w:szCs w:val="18"/>
          <w:highlight w:val="none"/>
          <w:lang w:val="en-US" w:eastAsia="zh-CN"/>
        </w:rPr>
        <w:t>可按</w:t>
      </w:r>
      <w:r>
        <w:rPr>
          <w:rFonts w:hint="eastAsia"/>
          <w:bCs/>
          <w:szCs w:val="18"/>
          <w:highlight w:val="none"/>
        </w:rPr>
        <w:t>表</w:t>
      </w:r>
      <w:r>
        <w:rPr>
          <w:rFonts w:hint="eastAsia" w:ascii="Times New Roman" w:hAnsi="Times New Roman" w:cs="Times New Roman"/>
          <w:bCs/>
          <w:szCs w:val="18"/>
          <w:highlight w:val="none"/>
          <w:lang w:val="en-US" w:eastAsia="zh-CN"/>
        </w:rPr>
        <w:t>4.3.8-1</w:t>
      </w:r>
      <w:r>
        <w:rPr>
          <w:rFonts w:hint="eastAsia"/>
          <w:bCs/>
          <w:szCs w:val="18"/>
          <w:highlight w:val="none"/>
        </w:rPr>
        <w:t>中的灌注桩高值</w:t>
      </w:r>
      <w:r>
        <w:rPr>
          <w:rFonts w:hint="eastAsia"/>
          <w:bCs/>
          <w:szCs w:val="18"/>
          <w:highlight w:val="none"/>
          <w:lang w:val="en-US" w:eastAsia="zh-CN"/>
        </w:rPr>
        <w:t>取值；</w:t>
      </w:r>
    </w:p>
    <w:p w14:paraId="16379C28">
      <w:pPr>
        <w:keepNext w:val="0"/>
        <w:keepLines w:val="0"/>
        <w:pageBreakBefore w:val="0"/>
        <w:widowControl w:val="0"/>
        <w:tabs>
          <w:tab w:val="left" w:pos="2977"/>
          <w:tab w:val="left" w:pos="6940"/>
        </w:tabs>
        <w:kinsoku/>
        <w:wordWrap/>
        <w:overflowPunct/>
        <w:topLinePunct w:val="0"/>
        <w:autoSpaceDE/>
        <w:autoSpaceDN/>
        <w:bidi w:val="0"/>
        <w:adjustRightInd/>
        <w:snapToGrid/>
        <w:spacing w:after="80" w:line="312" w:lineRule="exact"/>
        <w:ind w:firstLine="630" w:firstLineChars="300"/>
        <w:jc w:val="left"/>
        <w:textAlignment w:val="auto"/>
        <w:rPr>
          <w:rFonts w:hint="eastAsia" w:eastAsia="宋体"/>
          <w:strike/>
          <w:dstrike w:val="0"/>
          <w:highlight w:val="none"/>
          <w:lang w:eastAsia="zh-CN"/>
        </w:rPr>
      </w:pPr>
      <w:r>
        <w:rPr>
          <w:rFonts w:hint="default" w:ascii="Times New Roman" w:hAnsi="Times New Roman" w:cs="Times New Roman" w:eastAsiaTheme="minorEastAsia"/>
          <w:strike/>
          <w:dstrike w:val="0"/>
          <w:position w:val="-14"/>
          <w:szCs w:val="21"/>
          <w:highlight w:val="none"/>
        </w:rPr>
        <w:object>
          <v:shape id="_x0000_i1146" o:spt="75" type="#_x0000_t75" style="height:19pt;width:19pt;" o:ole="t" filled="f" o:preferrelative="t" stroked="f" coordsize="21600,21600">
            <v:path/>
            <v:fill on="f" focussize="0,0"/>
            <v:stroke on="f"/>
            <v:imagedata r:id="rId247" o:title=""/>
            <o:lock v:ext="edit" aspectratio="t"/>
            <w10:wrap type="none"/>
            <w10:anchorlock/>
          </v:shape>
          <o:OLEObject Type="Embed" ProgID="Equation.3" ShapeID="_x0000_i1146" DrawAspect="Content" ObjectID="_1468075846" r:id="rId246">
            <o:LockedField>false</o:LockedField>
          </o:OLEObject>
        </w:object>
      </w:r>
      <w:r>
        <w:rPr>
          <w:rFonts w:ascii="Times New Roman" w:hAnsi="Times New Roman" w:eastAsia="宋体" w:cs="Times New Roman"/>
          <w:bCs/>
          <w:strike w:val="0"/>
          <w:dstrike w:val="0"/>
          <w:szCs w:val="21"/>
          <w:highlight w:val="none"/>
        </w:rPr>
        <w:t>——</w:t>
      </w:r>
      <w:r>
        <w:rPr>
          <w:rFonts w:hint="eastAsia" w:ascii="Times New Roman" w:hAnsi="Times New Roman" w:cs="Times New Roman"/>
          <w:bCs/>
          <w:strike w:val="0"/>
          <w:dstrike w:val="0"/>
          <w:szCs w:val="21"/>
          <w:highlight w:val="none"/>
          <w:lang w:val="en-US" w:eastAsia="zh-CN"/>
        </w:rPr>
        <w:t>芯</w:t>
      </w:r>
      <w:r>
        <w:rPr>
          <w:rFonts w:hint="eastAsia"/>
          <w:strike w:val="0"/>
          <w:dstrike w:val="0"/>
          <w:highlight w:val="none"/>
        </w:rPr>
        <w:t>桩自重，地下水位以下取浮重度（</w:t>
      </w:r>
      <w:r>
        <w:rPr>
          <w:rFonts w:hint="eastAsia" w:ascii="Times New Roman" w:hAnsi="Times New Roman" w:eastAsia="宋体" w:cs="Times New Roman"/>
          <w:strike w:val="0"/>
          <w:dstrike w:val="0"/>
          <w:szCs w:val="21"/>
          <w:highlight w:val="none"/>
        </w:rPr>
        <w:t>kN）</w:t>
      </w:r>
      <w:r>
        <w:rPr>
          <w:rFonts w:hint="eastAsia"/>
          <w:strike w:val="0"/>
          <w:dstrike w:val="0"/>
          <w:highlight w:val="none"/>
          <w:lang w:eastAsia="zh-CN"/>
        </w:rPr>
        <w:t>；</w:t>
      </w:r>
    </w:p>
    <w:p w14:paraId="6000987C">
      <w:pPr>
        <w:keepNext w:val="0"/>
        <w:keepLines w:val="0"/>
        <w:pageBreakBefore w:val="0"/>
        <w:widowControl w:val="0"/>
        <w:tabs>
          <w:tab w:val="left" w:pos="2977"/>
          <w:tab w:val="left" w:pos="6940"/>
        </w:tabs>
        <w:kinsoku/>
        <w:wordWrap/>
        <w:overflowPunct/>
        <w:topLinePunct w:val="0"/>
        <w:autoSpaceDE/>
        <w:autoSpaceDN/>
        <w:bidi w:val="0"/>
        <w:adjustRightInd/>
        <w:snapToGrid/>
        <w:spacing w:line="400" w:lineRule="exact"/>
        <w:ind w:firstLine="630" w:firstLineChars="300"/>
        <w:jc w:val="left"/>
        <w:textAlignment w:val="auto"/>
        <w:rPr>
          <w:rFonts w:hint="eastAsia"/>
          <w:strike/>
          <w:dstrike w:val="0"/>
          <w:highlight w:val="none"/>
        </w:rPr>
      </w:pPr>
      <w:r>
        <w:rPr>
          <w:rFonts w:hint="default" w:ascii="Times New Roman" w:hAnsi="Times New Roman" w:cs="Times New Roman" w:eastAsiaTheme="minorEastAsia"/>
          <w:strike/>
          <w:dstrike w:val="0"/>
          <w:position w:val="-14"/>
          <w:szCs w:val="21"/>
          <w:highlight w:val="none"/>
        </w:rPr>
        <w:object>
          <v:shape id="_x0000_i1147" o:spt="75" type="#_x0000_t75" style="height:19pt;width:21pt;" o:ole="t" filled="f" o:preferrelative="t" stroked="f" coordsize="21600,21600">
            <v:path/>
            <v:fill on="f" focussize="0,0"/>
            <v:stroke on="f"/>
            <v:imagedata r:id="rId249" o:title=""/>
            <o:lock v:ext="edit" aspectratio="t"/>
            <w10:wrap type="none"/>
            <w10:anchorlock/>
          </v:shape>
          <o:OLEObject Type="Embed" ProgID="Equation.3" ShapeID="_x0000_i1147" DrawAspect="Content" ObjectID="_1468075847" r:id="rId248">
            <o:LockedField>false</o:LockedField>
          </o:OLEObject>
        </w:object>
      </w:r>
      <w:r>
        <w:rPr>
          <w:rFonts w:ascii="Times New Roman" w:hAnsi="Times New Roman" w:eastAsia="宋体" w:cs="Times New Roman"/>
          <w:bCs/>
          <w:strike w:val="0"/>
          <w:dstrike w:val="0"/>
          <w:szCs w:val="21"/>
          <w:highlight w:val="none"/>
        </w:rPr>
        <w:t>——</w:t>
      </w:r>
      <w:r>
        <w:rPr>
          <w:rFonts w:hint="eastAsia"/>
          <w:strike w:val="0"/>
          <w:dstrike w:val="0"/>
          <w:highlight w:val="none"/>
          <w:lang w:val="en-US" w:eastAsia="zh-CN"/>
        </w:rPr>
        <w:t>预制桩植桩</w:t>
      </w:r>
      <w:r>
        <w:rPr>
          <w:rFonts w:hint="eastAsia"/>
          <w:strike w:val="0"/>
          <w:dstrike w:val="0"/>
          <w:highlight w:val="none"/>
        </w:rPr>
        <w:t>自重（</w:t>
      </w:r>
      <w:r>
        <w:rPr>
          <w:rFonts w:hint="eastAsia"/>
          <w:strike w:val="0"/>
          <w:dstrike w:val="0"/>
          <w:highlight w:val="none"/>
          <w:lang w:val="en-US" w:eastAsia="zh-CN"/>
        </w:rPr>
        <w:t>包括芯桩和</w:t>
      </w:r>
      <w:r>
        <w:rPr>
          <w:rFonts w:hint="eastAsia"/>
          <w:strike w:val="0"/>
          <w:dstrike w:val="0"/>
          <w:highlight w:val="none"/>
        </w:rPr>
        <w:t>外芯自重），地下水位以下取浮重度（</w:t>
      </w:r>
      <w:r>
        <w:rPr>
          <w:rFonts w:hint="eastAsia" w:ascii="Times New Roman" w:hAnsi="Times New Roman" w:eastAsia="宋体" w:cs="Times New Roman"/>
          <w:strike w:val="0"/>
          <w:dstrike w:val="0"/>
          <w:szCs w:val="21"/>
          <w:highlight w:val="none"/>
        </w:rPr>
        <w:t>kN）</w:t>
      </w:r>
      <w:r>
        <w:rPr>
          <w:rFonts w:hint="eastAsia"/>
          <w:strike w:val="0"/>
          <w:dstrike w:val="0"/>
          <w:highlight w:val="none"/>
        </w:rPr>
        <w:t>。</w:t>
      </w:r>
    </w:p>
    <w:p w14:paraId="2DF7C5E5">
      <w:pPr>
        <w:spacing w:line="360" w:lineRule="auto"/>
        <w:jc w:val="center"/>
        <w:rPr>
          <w:rFonts w:hint="eastAsia" w:ascii="Times New Roman" w:hAnsi="Times New Roman" w:eastAsia="宋体"/>
          <w:b/>
          <w:sz w:val="18"/>
          <w:szCs w:val="18"/>
          <w:highlight w:val="none"/>
          <w:lang w:val="en-US" w:eastAsia="zh-CN"/>
        </w:rPr>
      </w:pPr>
      <w:r>
        <w:rPr>
          <w:rFonts w:hint="eastAsia" w:ascii="Times New Roman" w:hAnsi="Times New Roman" w:eastAsia="黑体"/>
          <w:b/>
          <w:sz w:val="18"/>
          <w:szCs w:val="18"/>
          <w:highlight w:val="none"/>
        </w:rPr>
        <w:t>表</w:t>
      </w:r>
      <w:r>
        <w:rPr>
          <w:rFonts w:hint="default" w:ascii="Times New Roman" w:hAnsi="Times New Roman" w:eastAsia="黑体"/>
          <w:b/>
          <w:sz w:val="18"/>
          <w:szCs w:val="18"/>
          <w:highlight w:val="none"/>
        </w:rPr>
        <w:t xml:space="preserve"> </w:t>
      </w:r>
      <w:r>
        <w:rPr>
          <w:rFonts w:hint="eastAsia" w:ascii="Times New Roman" w:hAnsi="Times New Roman" w:eastAsia="黑体"/>
          <w:b/>
          <w:sz w:val="18"/>
          <w:szCs w:val="18"/>
          <w:highlight w:val="none"/>
          <w:lang w:val="en-US" w:eastAsia="zh-CN"/>
        </w:rPr>
        <w:t>4</w:t>
      </w:r>
      <w:r>
        <w:rPr>
          <w:rFonts w:hint="default" w:ascii="Times New Roman" w:hAnsi="Times New Roman" w:eastAsia="黑体"/>
          <w:b/>
          <w:sz w:val="18"/>
          <w:szCs w:val="18"/>
          <w:highlight w:val="none"/>
        </w:rPr>
        <w:t xml:space="preserve">. </w:t>
      </w:r>
      <w:r>
        <w:rPr>
          <w:rFonts w:hint="eastAsia" w:ascii="Times New Roman" w:hAnsi="Times New Roman" w:eastAsia="黑体"/>
          <w:b/>
          <w:sz w:val="18"/>
          <w:szCs w:val="18"/>
          <w:highlight w:val="none"/>
          <w:lang w:val="en-US" w:eastAsia="zh-CN"/>
        </w:rPr>
        <w:t>3</w:t>
      </w:r>
      <w:r>
        <w:rPr>
          <w:rFonts w:hint="default" w:ascii="Times New Roman" w:hAnsi="Times New Roman" w:eastAsia="黑体"/>
          <w:b/>
          <w:sz w:val="18"/>
          <w:szCs w:val="18"/>
          <w:highlight w:val="none"/>
        </w:rPr>
        <w:t>.1</w:t>
      </w:r>
      <w:r>
        <w:rPr>
          <w:rFonts w:hint="eastAsia" w:ascii="Times New Roman" w:hAnsi="Times New Roman" w:eastAsia="黑体"/>
          <w:b/>
          <w:sz w:val="18"/>
          <w:szCs w:val="18"/>
          <w:highlight w:val="none"/>
          <w:lang w:val="en-US" w:eastAsia="zh-CN"/>
        </w:rPr>
        <w:t>2</w:t>
      </w:r>
      <w:r>
        <w:rPr>
          <w:rFonts w:hint="default" w:ascii="Times New Roman" w:hAnsi="Times New Roman" w:eastAsia="黑体"/>
          <w:b/>
          <w:sz w:val="18"/>
          <w:szCs w:val="18"/>
          <w:highlight w:val="none"/>
        </w:rPr>
        <w:t xml:space="preserve"> </w:t>
      </w:r>
      <w:r>
        <w:rPr>
          <w:rFonts w:hint="eastAsia" w:ascii="Times New Roman" w:hAnsi="Times New Roman" w:eastAsia="黑体"/>
          <w:b/>
          <w:sz w:val="18"/>
          <w:szCs w:val="18"/>
          <w:highlight w:val="none"/>
        </w:rPr>
        <w:t>抗拔系数</w:t>
      </w:r>
      <w:r>
        <w:rPr>
          <w:rFonts w:hint="default" w:ascii="Times New Roman" w:hAnsi="Times New Roman" w:cs="Times New Roman" w:eastAsiaTheme="minorEastAsia"/>
          <w:position w:val="-12"/>
          <w:szCs w:val="21"/>
          <w:highlight w:val="none"/>
        </w:rPr>
        <w:object>
          <v:shape id="_x0000_i1148" o:spt="75" type="#_x0000_t75" style="height:16.2pt;width:10.8pt;" o:ole="t" filled="f" o:preferrelative="t" stroked="f" coordsize="21600,21600">
            <v:path/>
            <v:fill on="f" focussize="0,0"/>
            <v:stroke on="f"/>
            <v:imagedata r:id="rId251" o:title=""/>
            <o:lock v:ext="edit" aspectratio="t"/>
            <w10:wrap type="none"/>
            <w10:anchorlock/>
          </v:shape>
          <o:OLEObject Type="Embed" ProgID="Equation.3" ShapeID="_x0000_i1148" DrawAspect="Content" ObjectID="_1468075848" r:id="rId250">
            <o:LockedField>false</o:LockedField>
          </o:OLEObject>
        </w:object>
      </w:r>
    </w:p>
    <w:tbl>
      <w:tblPr>
        <w:tblStyle w:val="48"/>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102"/>
        <w:gridCol w:w="3009"/>
      </w:tblGrid>
      <w:tr w14:paraId="5AF6B8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2538" w:type="pct"/>
            <w:tcBorders>
              <w:tl2br w:val="nil"/>
              <w:tr2bl w:val="nil"/>
            </w:tcBorders>
          </w:tcPr>
          <w:p w14:paraId="4223647B">
            <w:pPr>
              <w:widowControl w:val="0"/>
              <w:jc w:val="center"/>
              <w:rPr>
                <w:sz w:val="15"/>
                <w:szCs w:val="15"/>
                <w:highlight w:val="none"/>
              </w:rPr>
            </w:pPr>
            <w:r>
              <w:rPr>
                <w:rFonts w:hint="eastAsia"/>
                <w:sz w:val="15"/>
                <w:szCs w:val="15"/>
                <w:highlight w:val="none"/>
              </w:rPr>
              <w:t>土类别</w:t>
            </w:r>
          </w:p>
        </w:tc>
        <w:tc>
          <w:tcPr>
            <w:tcW w:w="2461" w:type="pct"/>
            <w:tcBorders>
              <w:tl2br w:val="nil"/>
              <w:tr2bl w:val="nil"/>
            </w:tcBorders>
          </w:tcPr>
          <w:p w14:paraId="55B002A0">
            <w:pPr>
              <w:widowControl w:val="0"/>
              <w:jc w:val="center"/>
              <w:rPr>
                <w:sz w:val="15"/>
                <w:szCs w:val="15"/>
                <w:highlight w:val="none"/>
              </w:rPr>
            </w:pPr>
            <w:r>
              <w:rPr>
                <w:rFonts w:hint="default" w:ascii="Times New Roman" w:hAnsi="Times New Roman" w:cs="Times New Roman" w:eastAsiaTheme="minorEastAsia"/>
                <w:position w:val="-12"/>
                <w:szCs w:val="21"/>
                <w:highlight w:val="none"/>
              </w:rPr>
              <w:object>
                <v:shape id="_x0000_i1149" o:spt="75" type="#_x0000_t75" style="height:13.3pt;width:9.05pt;" o:ole="t" filled="f" o:preferrelative="t" stroked="f" coordsize="21600,21600">
                  <v:path/>
                  <v:fill on="f" focussize="0,0"/>
                  <v:stroke on="f"/>
                  <v:imagedata r:id="rId239" o:title=""/>
                  <o:lock v:ext="edit" aspectratio="t"/>
                  <w10:wrap type="none"/>
                  <w10:anchorlock/>
                </v:shape>
                <o:OLEObject Type="Embed" ProgID="Equation.3" ShapeID="_x0000_i1149" DrawAspect="Content" ObjectID="_1468075849" r:id="rId252">
                  <o:LockedField>false</o:LockedField>
                </o:OLEObject>
              </w:object>
            </w:r>
            <w:r>
              <w:rPr>
                <w:rFonts w:hint="eastAsia"/>
                <w:sz w:val="15"/>
                <w:szCs w:val="15"/>
                <w:highlight w:val="none"/>
              </w:rPr>
              <w:t>值</w:t>
            </w:r>
          </w:p>
        </w:tc>
      </w:tr>
      <w:tr w14:paraId="512C97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38" w:type="pct"/>
            <w:tcBorders>
              <w:tl2br w:val="nil"/>
              <w:tr2bl w:val="nil"/>
            </w:tcBorders>
          </w:tcPr>
          <w:p w14:paraId="14BED3CB">
            <w:pPr>
              <w:widowControl w:val="0"/>
              <w:jc w:val="center"/>
              <w:rPr>
                <w:sz w:val="15"/>
                <w:szCs w:val="15"/>
                <w:highlight w:val="none"/>
              </w:rPr>
            </w:pPr>
            <w:r>
              <w:rPr>
                <w:rFonts w:hint="eastAsia"/>
                <w:sz w:val="15"/>
                <w:szCs w:val="15"/>
                <w:highlight w:val="none"/>
              </w:rPr>
              <w:t>黏性土、粉土</w:t>
            </w:r>
          </w:p>
        </w:tc>
        <w:tc>
          <w:tcPr>
            <w:tcW w:w="2461" w:type="pct"/>
            <w:tcBorders>
              <w:tl2br w:val="nil"/>
              <w:tr2bl w:val="nil"/>
            </w:tcBorders>
          </w:tcPr>
          <w:p w14:paraId="6194B985">
            <w:pPr>
              <w:widowControl w:val="0"/>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0.70~0.80</w:t>
            </w:r>
          </w:p>
        </w:tc>
      </w:tr>
      <w:tr w14:paraId="64508D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38" w:type="pct"/>
            <w:tcBorders>
              <w:tl2br w:val="nil"/>
              <w:tr2bl w:val="nil"/>
            </w:tcBorders>
          </w:tcPr>
          <w:p w14:paraId="21BF2FE0">
            <w:pPr>
              <w:widowControl w:val="0"/>
              <w:jc w:val="center"/>
              <w:rPr>
                <w:sz w:val="15"/>
                <w:szCs w:val="15"/>
                <w:highlight w:val="none"/>
              </w:rPr>
            </w:pPr>
            <w:r>
              <w:rPr>
                <w:rFonts w:hint="eastAsia"/>
                <w:sz w:val="15"/>
                <w:szCs w:val="15"/>
                <w:highlight w:val="none"/>
              </w:rPr>
              <w:t>松散</w:t>
            </w:r>
            <w:r>
              <w:rPr>
                <w:sz w:val="15"/>
                <w:szCs w:val="15"/>
                <w:highlight w:val="none"/>
              </w:rPr>
              <w:t>~</w:t>
            </w:r>
            <w:r>
              <w:rPr>
                <w:rFonts w:hint="eastAsia"/>
                <w:sz w:val="15"/>
                <w:szCs w:val="15"/>
                <w:highlight w:val="none"/>
              </w:rPr>
              <w:t>密实砂土</w:t>
            </w:r>
          </w:p>
        </w:tc>
        <w:tc>
          <w:tcPr>
            <w:tcW w:w="2461" w:type="pct"/>
            <w:tcBorders>
              <w:tl2br w:val="nil"/>
              <w:tr2bl w:val="nil"/>
            </w:tcBorders>
          </w:tcPr>
          <w:p w14:paraId="6B62D7F6">
            <w:pPr>
              <w:widowControl w:val="0"/>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0.50~0.70</w:t>
            </w:r>
          </w:p>
        </w:tc>
      </w:tr>
      <w:tr w14:paraId="0E1F62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38" w:type="pct"/>
            <w:tcBorders>
              <w:tl2br w:val="nil"/>
              <w:tr2bl w:val="nil"/>
            </w:tcBorders>
          </w:tcPr>
          <w:p w14:paraId="2707FD44">
            <w:pPr>
              <w:widowControl w:val="0"/>
              <w:jc w:val="center"/>
              <w:rPr>
                <w:sz w:val="15"/>
                <w:szCs w:val="15"/>
                <w:highlight w:val="none"/>
              </w:rPr>
            </w:pPr>
            <w:r>
              <w:rPr>
                <w:rFonts w:hint="eastAsia"/>
                <w:sz w:val="15"/>
                <w:szCs w:val="15"/>
                <w:highlight w:val="none"/>
              </w:rPr>
              <w:t>残积土，全、强风化岩</w:t>
            </w:r>
          </w:p>
        </w:tc>
        <w:tc>
          <w:tcPr>
            <w:tcW w:w="2461" w:type="pct"/>
            <w:tcBorders>
              <w:tl2br w:val="nil"/>
              <w:tr2bl w:val="nil"/>
            </w:tcBorders>
          </w:tcPr>
          <w:p w14:paraId="60D1C18E">
            <w:pPr>
              <w:widowControl w:val="0"/>
              <w:jc w:val="center"/>
              <w:rPr>
                <w:rFonts w:hint="default" w:ascii="Times New Roman" w:hAnsi="Times New Roman" w:cs="Times New Roman"/>
                <w:sz w:val="15"/>
                <w:szCs w:val="15"/>
                <w:highlight w:val="none"/>
              </w:rPr>
            </w:pPr>
            <w:r>
              <w:rPr>
                <w:rFonts w:hint="default" w:ascii="Times New Roman" w:hAnsi="Times New Roman" w:cs="Times New Roman"/>
                <w:sz w:val="15"/>
                <w:szCs w:val="15"/>
                <w:highlight w:val="none"/>
              </w:rPr>
              <w:t>0.60~0.70</w:t>
            </w:r>
          </w:p>
        </w:tc>
      </w:tr>
    </w:tbl>
    <w:p w14:paraId="2319CF61">
      <w:pPr>
        <w:keepNext w:val="0"/>
        <w:keepLines w:val="0"/>
        <w:pageBreakBefore w:val="0"/>
        <w:widowControl/>
        <w:numPr>
          <w:ilvl w:val="0"/>
          <w:numId w:val="0"/>
        </w:numPr>
        <w:kinsoku/>
        <w:wordWrap/>
        <w:overflowPunct/>
        <w:topLinePunct w:val="0"/>
        <w:autoSpaceDE/>
        <w:autoSpaceDN/>
        <w:bidi w:val="0"/>
        <w:adjustRightInd/>
        <w:snapToGrid w:val="0"/>
        <w:spacing w:line="240" w:lineRule="auto"/>
        <w:ind w:firstLine="422" w:firstLineChars="200"/>
        <w:jc w:val="left"/>
        <w:textAlignment w:val="auto"/>
        <w:rPr>
          <w:rStyle w:val="51"/>
          <w:rFonts w:hint="eastAsia" w:ascii="Times New Roman" w:hAnsi="Times New Roman"/>
          <w:highlight w:val="none"/>
        </w:rPr>
      </w:pPr>
      <w:r>
        <w:rPr>
          <w:rStyle w:val="51"/>
          <w:rFonts w:hint="eastAsia" w:ascii="Times New Roman" w:hAnsi="Times New Roman"/>
          <w:b/>
          <w:bCs/>
          <w:highlight w:val="none"/>
          <w:lang w:val="en-US" w:eastAsia="zh-CN"/>
        </w:rPr>
        <w:t>2）</w:t>
      </w:r>
      <w:r>
        <w:rPr>
          <w:rStyle w:val="51"/>
          <w:rFonts w:hint="eastAsia" w:ascii="Times New Roman" w:hAnsi="Times New Roman"/>
          <w:highlight w:val="none"/>
        </w:rPr>
        <w:t>群桩呈整体破坏时，基桩的抗拔承载力</w:t>
      </w:r>
      <w:r>
        <w:rPr>
          <w:rStyle w:val="51"/>
          <w:rFonts w:hint="eastAsia" w:ascii="Times New Roman" w:hAnsi="Times New Roman"/>
          <w:highlight w:val="none"/>
          <w:lang w:val="en-US" w:eastAsia="zh-CN"/>
        </w:rPr>
        <w:t>特征值</w:t>
      </w:r>
      <w:r>
        <w:rPr>
          <w:rStyle w:val="51"/>
          <w:rFonts w:hint="eastAsia" w:ascii="Times New Roman" w:hAnsi="Times New Roman"/>
          <w:highlight w:val="none"/>
        </w:rPr>
        <w:t>可按下式计算：</w:t>
      </w:r>
    </w:p>
    <w:p w14:paraId="5D949148">
      <w:pPr>
        <w:keepNext w:val="0"/>
        <w:keepLines w:val="0"/>
        <w:pageBreakBefore w:val="0"/>
        <w:widowControl w:val="0"/>
        <w:tabs>
          <w:tab w:val="left" w:pos="2977"/>
          <w:tab w:val="left" w:pos="6940"/>
        </w:tabs>
        <w:kinsoku/>
        <w:wordWrap/>
        <w:overflowPunct/>
        <w:topLinePunct w:val="0"/>
        <w:autoSpaceDE/>
        <w:autoSpaceDN/>
        <w:bidi w:val="0"/>
        <w:adjustRightInd/>
        <w:snapToGrid/>
        <w:spacing w:before="157" w:beforeLines="50" w:after="157" w:afterLines="50" w:line="360" w:lineRule="exact"/>
        <w:jc w:val="right"/>
        <w:textAlignment w:val="auto"/>
        <w:rPr>
          <w:rFonts w:hint="eastAsia" w:ascii="Times New Roman" w:hAnsi="Times New Roman" w:cs="Times New Roman"/>
          <w:bCs/>
          <w:szCs w:val="21"/>
          <w:highlight w:val="none"/>
          <w:lang w:val="en-US" w:eastAsia="zh-CN"/>
        </w:rPr>
      </w:pPr>
      <w:r>
        <w:rPr>
          <w:rFonts w:hint="default" w:ascii="Times New Roman" w:hAnsi="Times New Roman" w:cs="Times New Roman" w:eastAsiaTheme="minorEastAsia"/>
          <w:position w:val="-24"/>
          <w:szCs w:val="21"/>
          <w:highlight w:val="none"/>
        </w:rPr>
        <w:object>
          <v:shape id="_x0000_i1150" o:spt="75" type="#_x0000_t75" style="height:31pt;width:149pt;" o:ole="t" filled="f" o:preferrelative="t" stroked="f" coordsize="21600,21600">
            <v:path/>
            <v:fill on="f" focussize="0,0"/>
            <v:stroke on="f"/>
            <v:imagedata r:id="rId254" o:title=""/>
            <o:lock v:ext="edit" aspectratio="t"/>
            <w10:wrap type="none"/>
            <w10:anchorlock/>
          </v:shape>
          <o:OLEObject Type="Embed" ProgID="Equation.3" ShapeID="_x0000_i1150" DrawAspect="Content" ObjectID="_1468075850" r:id="rId253">
            <o:LockedField>false</o:LockedField>
          </o:OLEObject>
        </w:object>
      </w:r>
      <w:r>
        <w:rPr>
          <w:rFonts w:hint="eastAsia"/>
          <w:position w:val="-24"/>
          <w:highlight w:val="none"/>
          <w:lang w:val="en-US" w:eastAsia="zh-CN"/>
        </w:rPr>
        <w:t xml:space="preserve">      </w:t>
      </w:r>
      <w:r>
        <w:rPr>
          <w:rFonts w:hint="eastAsia" w:ascii="Times New Roman" w:hAnsi="Times New Roman" w:cs="Times New Roman"/>
          <w:bCs/>
          <w:szCs w:val="21"/>
          <w:highlight w:val="none"/>
          <w:lang w:val="en-US" w:eastAsia="zh-CN"/>
        </w:rPr>
        <w:t>（4.3.12-3）</w:t>
      </w:r>
    </w:p>
    <w:p w14:paraId="0523D3FD">
      <w:pPr>
        <w:keepNext w:val="0"/>
        <w:keepLines w:val="0"/>
        <w:pageBreakBefore w:val="0"/>
        <w:widowControl w:val="0"/>
        <w:tabs>
          <w:tab w:val="left" w:pos="2977"/>
          <w:tab w:val="left" w:pos="6940"/>
        </w:tabs>
        <w:kinsoku/>
        <w:wordWrap/>
        <w:overflowPunct/>
        <w:topLinePunct w:val="0"/>
        <w:autoSpaceDE/>
        <w:autoSpaceDN/>
        <w:bidi w:val="0"/>
        <w:adjustRightInd/>
        <w:snapToGrid/>
        <w:spacing w:line="300" w:lineRule="exact"/>
        <w:jc w:val="left"/>
        <w:textAlignment w:val="auto"/>
        <w:rPr>
          <w:highlight w:val="none"/>
        </w:rPr>
      </w:pPr>
      <w:r>
        <w:rPr>
          <w:szCs w:val="24"/>
          <w:highlight w:val="none"/>
        </w:rPr>
        <w:t>式中：</w:t>
      </w:r>
      <w:r>
        <w:rPr>
          <w:rFonts w:hint="default" w:ascii="Times New Roman" w:hAnsi="Times New Roman" w:cs="Times New Roman" w:eastAsiaTheme="minorEastAsia"/>
          <w:position w:val="-10"/>
          <w:szCs w:val="21"/>
          <w:highlight w:val="none"/>
        </w:rPr>
        <w:object>
          <v:shape id="_x0000_i1151" o:spt="75" type="#_x0000_t75" style="height:17pt;width:13.95pt;" o:ole="t" filled="f" o:preferrelative="t" stroked="f" coordsize="21600,21600">
            <v:path/>
            <v:fill on="f" focussize="0,0"/>
            <v:stroke on="f"/>
            <v:imagedata r:id="rId256" o:title=""/>
            <o:lock v:ext="edit" aspectratio="t"/>
            <w10:wrap type="none"/>
            <w10:anchorlock/>
          </v:shape>
          <o:OLEObject Type="Embed" ProgID="Equation.3" ShapeID="_x0000_i1151" DrawAspect="Content" ObjectID="_1468075851" r:id="rId255">
            <o:LockedField>false</o:LockedField>
          </o:OLEObject>
        </w:object>
      </w:r>
      <w:r>
        <w:rPr>
          <w:rFonts w:ascii="Times New Roman" w:hAnsi="Times New Roman" w:eastAsia="宋体" w:cs="Times New Roman"/>
          <w:bCs/>
          <w:szCs w:val="21"/>
          <w:highlight w:val="none"/>
        </w:rPr>
        <w:t>——</w:t>
      </w:r>
      <w:r>
        <w:rPr>
          <w:rFonts w:hint="eastAsia"/>
          <w:highlight w:val="none"/>
          <w:lang w:val="en-US" w:eastAsia="zh-CN"/>
        </w:rPr>
        <w:t>预制桩植桩</w:t>
      </w:r>
      <w:r>
        <w:rPr>
          <w:rFonts w:hint="eastAsia"/>
          <w:highlight w:val="none"/>
        </w:rPr>
        <w:t>桩群外围周长（</w:t>
      </w:r>
      <w:r>
        <w:rPr>
          <w:rFonts w:hint="default" w:ascii="Times New Roman" w:hAnsi="Times New Roman" w:cs="Times New Roman"/>
          <w:highlight w:val="none"/>
        </w:rPr>
        <w:t>m</w:t>
      </w:r>
      <w:r>
        <w:rPr>
          <w:rFonts w:hint="eastAsia"/>
          <w:highlight w:val="none"/>
        </w:rPr>
        <w:t>）</w:t>
      </w:r>
      <w:r>
        <w:rPr>
          <w:highlight w:val="none"/>
        </w:rPr>
        <w:t>；</w:t>
      </w:r>
    </w:p>
    <w:p w14:paraId="46C6C492">
      <w:pPr>
        <w:keepNext w:val="0"/>
        <w:keepLines w:val="0"/>
        <w:pageBreakBefore w:val="0"/>
        <w:widowControl w:val="0"/>
        <w:tabs>
          <w:tab w:val="left" w:pos="2977"/>
          <w:tab w:val="left" w:pos="6940"/>
        </w:tabs>
        <w:kinsoku/>
        <w:wordWrap/>
        <w:overflowPunct/>
        <w:topLinePunct w:val="0"/>
        <w:autoSpaceDE/>
        <w:autoSpaceDN/>
        <w:bidi w:val="0"/>
        <w:adjustRightInd/>
        <w:snapToGrid/>
        <w:spacing w:line="300" w:lineRule="exact"/>
        <w:ind w:firstLine="630" w:firstLineChars="300"/>
        <w:jc w:val="left"/>
        <w:textAlignment w:val="auto"/>
        <w:rPr>
          <w:highlight w:val="none"/>
        </w:rPr>
      </w:pPr>
      <w:r>
        <w:rPr>
          <w:rFonts w:hint="default" w:ascii="Times New Roman" w:hAnsi="Times New Roman" w:cs="Times New Roman" w:eastAsiaTheme="minorEastAsia"/>
          <w:position w:val="-6"/>
          <w:szCs w:val="21"/>
          <w:highlight w:val="none"/>
        </w:rPr>
        <w:object>
          <v:shape id="_x0000_i1152" o:spt="75" type="#_x0000_t75" style="height:11pt;width:10pt;" o:ole="t" filled="f" o:preferrelative="t" stroked="f" coordsize="21600,21600">
            <v:path/>
            <v:fill on="f" focussize="0,0"/>
            <v:stroke on="f"/>
            <v:imagedata r:id="rId258" o:title=""/>
            <o:lock v:ext="edit" aspectratio="t"/>
            <w10:wrap type="none"/>
            <w10:anchorlock/>
          </v:shape>
          <o:OLEObject Type="Embed" ProgID="Equation.3" ShapeID="_x0000_i1152" DrawAspect="Content" ObjectID="_1468075852" r:id="rId257">
            <o:LockedField>false</o:LockedField>
          </o:OLEObject>
        </w:object>
      </w:r>
      <w:r>
        <w:rPr>
          <w:rFonts w:ascii="Times New Roman" w:hAnsi="Times New Roman" w:eastAsia="宋体" w:cs="Times New Roman"/>
          <w:bCs/>
          <w:szCs w:val="21"/>
          <w:highlight w:val="none"/>
        </w:rPr>
        <w:t>——</w:t>
      </w:r>
      <w:r>
        <w:rPr>
          <w:rFonts w:hint="eastAsia"/>
          <w:highlight w:val="none"/>
        </w:rPr>
        <w:t>群桩基础中的桩数</w:t>
      </w:r>
      <w:r>
        <w:rPr>
          <w:highlight w:val="none"/>
        </w:rPr>
        <w:t>；</w:t>
      </w:r>
    </w:p>
    <w:p w14:paraId="1495BA2A">
      <w:pPr>
        <w:numPr>
          <w:ilvl w:val="0"/>
          <w:numId w:val="0"/>
        </w:numPr>
        <w:tabs>
          <w:tab w:val="left" w:pos="2977"/>
          <w:tab w:val="left" w:pos="6940"/>
        </w:tabs>
        <w:ind w:left="1470" w:leftChars="300" w:hanging="840" w:hangingChars="400"/>
        <w:rPr>
          <w:strike/>
          <w:dstrike w:val="0"/>
          <w:highlight w:val="none"/>
        </w:rPr>
      </w:pPr>
      <w:r>
        <w:rPr>
          <w:rFonts w:hint="default" w:ascii="Times New Roman" w:hAnsi="Times New Roman" w:cs="Times New Roman" w:eastAsiaTheme="minorEastAsia"/>
          <w:strike/>
          <w:dstrike w:val="0"/>
          <w:position w:val="-14"/>
          <w:szCs w:val="21"/>
          <w:highlight w:val="none"/>
        </w:rPr>
        <w:object>
          <v:shape id="_x0000_i1153" o:spt="75" type="#_x0000_t75" style="height:19pt;width:24pt;" o:ole="t" filled="f" o:preferrelative="t" stroked="f" coordsize="21600,21600">
            <v:path/>
            <v:fill on="f" focussize="0,0"/>
            <v:stroke on="f"/>
            <v:imagedata r:id="rId260" o:title=""/>
            <o:lock v:ext="edit" aspectratio="t"/>
            <w10:wrap type="none"/>
            <w10:anchorlock/>
          </v:shape>
          <o:OLEObject Type="Embed" ProgID="Equation.3" ShapeID="_x0000_i1153" DrawAspect="Content" ObjectID="_1468075853" r:id="rId259">
            <o:LockedField>false</o:LockedField>
          </o:OLEObject>
        </w:object>
      </w:r>
      <w:r>
        <w:rPr>
          <w:rFonts w:ascii="Times New Roman" w:hAnsi="Times New Roman" w:eastAsia="宋体" w:cs="Times New Roman"/>
          <w:bCs/>
          <w:strike w:val="0"/>
          <w:dstrike w:val="0"/>
          <w:szCs w:val="21"/>
          <w:highlight w:val="none"/>
        </w:rPr>
        <w:t>——</w:t>
      </w:r>
      <w:r>
        <w:rPr>
          <w:rFonts w:hint="eastAsia"/>
          <w:strike w:val="0"/>
          <w:dstrike w:val="0"/>
          <w:highlight w:val="none"/>
          <w:lang w:val="en-US" w:eastAsia="zh-CN"/>
        </w:rPr>
        <w:t>预制桩植桩</w:t>
      </w:r>
      <w:r>
        <w:rPr>
          <w:rFonts w:hint="eastAsia"/>
          <w:strike w:val="0"/>
          <w:dstrike w:val="0"/>
          <w:highlight w:val="none"/>
        </w:rPr>
        <w:t>群桩基础所包围体积的桩土总自重（含群桩所包围的外芯自重）除以总桩数，地下水位以下取浮重度（</w:t>
      </w:r>
      <w:r>
        <w:rPr>
          <w:rFonts w:hint="eastAsia" w:ascii="Times New Roman" w:hAnsi="Times New Roman" w:eastAsia="宋体" w:cs="Times New Roman"/>
          <w:strike w:val="0"/>
          <w:dstrike w:val="0"/>
          <w:szCs w:val="21"/>
          <w:highlight w:val="none"/>
        </w:rPr>
        <w:t>kN）</w:t>
      </w:r>
      <w:r>
        <w:rPr>
          <w:rFonts w:hint="eastAsia"/>
          <w:strike w:val="0"/>
          <w:dstrike w:val="0"/>
          <w:highlight w:val="none"/>
        </w:rPr>
        <w:t>。</w:t>
      </w:r>
    </w:p>
    <w:p w14:paraId="59DB4006">
      <w:pPr>
        <w:keepNext w:val="0"/>
        <w:keepLines w:val="0"/>
        <w:pageBreakBefore w:val="0"/>
        <w:kinsoku/>
        <w:wordWrap/>
        <w:overflowPunct/>
        <w:topLinePunct w:val="0"/>
        <w:autoSpaceDE/>
        <w:autoSpaceDN/>
        <w:bidi w:val="0"/>
        <w:adjustRightInd/>
        <w:spacing w:line="240" w:lineRule="auto"/>
        <w:ind w:firstLine="422" w:firstLineChars="200"/>
        <w:textAlignment w:val="auto"/>
        <w:rPr>
          <w:rFonts w:hint="default" w:ascii="Times New Roman" w:hAnsi="Times New Roman" w:cs="Times New Roman"/>
          <w:szCs w:val="21"/>
          <w:highlight w:val="none"/>
          <w:lang w:eastAsia="zh-CN"/>
        </w:rPr>
      </w:pPr>
      <w:r>
        <w:rPr>
          <w:rStyle w:val="51"/>
          <w:rFonts w:hint="eastAsia" w:ascii="Times New Roman" w:hAnsi="Times New Roman"/>
          <w:b/>
          <w:bCs/>
          <w:highlight w:val="none"/>
          <w:lang w:val="en-US" w:eastAsia="zh-CN"/>
        </w:rPr>
        <w:t>3）</w:t>
      </w:r>
      <w:r>
        <w:rPr>
          <w:rFonts w:hint="eastAsia" w:ascii="Times New Roman" w:hAnsi="Times New Roman" w:cs="Times New Roman"/>
          <w:szCs w:val="21"/>
          <w:highlight w:val="none"/>
        </w:rPr>
        <w:t>芯桩正截面受拉承载力、裂缝控制</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连接强度</w:t>
      </w:r>
      <w:r>
        <w:rPr>
          <w:rFonts w:hint="default" w:ascii="Times New Roman" w:hAnsi="Times New Roman" w:eastAsiaTheme="minorEastAsia"/>
          <w:szCs w:val="21"/>
          <w:highlight w:val="none"/>
          <w:lang w:eastAsia="zh-CN"/>
        </w:rPr>
        <w:t>应</w:t>
      </w:r>
      <w:r>
        <w:rPr>
          <w:rFonts w:hint="eastAsia" w:ascii="Times New Roman" w:hAnsi="Times New Roman" w:cs="Times New Roman"/>
          <w:szCs w:val="21"/>
          <w:highlight w:val="none"/>
        </w:rPr>
        <w:t>符合</w:t>
      </w:r>
      <w:r>
        <w:rPr>
          <w:rFonts w:hint="default" w:ascii="Times New Roman" w:hAnsi="Times New Roman" w:eastAsiaTheme="minorEastAsia"/>
          <w:szCs w:val="21"/>
          <w:highlight w:val="none"/>
        </w:rPr>
        <w:t>现行行业标准</w:t>
      </w:r>
      <w:r>
        <w:rPr>
          <w:rFonts w:hint="default" w:ascii="Times New Roman" w:hAnsi="Times New Roman" w:eastAsiaTheme="minorEastAsia"/>
          <w:szCs w:val="21"/>
          <w:highlight w:val="none"/>
          <w:lang w:eastAsia="zh-CN"/>
        </w:rPr>
        <w:t>《</w:t>
      </w:r>
      <w:r>
        <w:rPr>
          <w:rFonts w:hint="eastAsia" w:ascii="Times New Roman" w:hAnsi="Times New Roman" w:eastAsiaTheme="minorEastAsia"/>
          <w:szCs w:val="21"/>
          <w:highlight w:val="none"/>
          <w:lang w:val="en-US" w:eastAsia="zh-CN"/>
        </w:rPr>
        <w:t>预应力混凝土管桩技术标准</w:t>
      </w:r>
      <w:r>
        <w:rPr>
          <w:rFonts w:hint="default"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JG</w:t>
      </w:r>
      <w:r>
        <w:rPr>
          <w:rFonts w:hint="eastAsia" w:ascii="Times New Roman" w:hAnsi="Times New Roman" w:eastAsiaTheme="minorEastAsia"/>
          <w:szCs w:val="21"/>
          <w:highlight w:val="none"/>
          <w:lang w:val="en-US" w:eastAsia="zh-CN"/>
        </w:rPr>
        <w:t>J/T</w:t>
      </w:r>
      <w:r>
        <w:rPr>
          <w:rFonts w:hint="default"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lang w:val="en-US" w:eastAsia="zh-CN"/>
        </w:rPr>
        <w:t>406和</w:t>
      </w:r>
      <w:r>
        <w:rPr>
          <w:rFonts w:hint="eastAsia" w:ascii="Times New Roman" w:hAnsi="Times New Roman" w:cs="Times New Roman"/>
          <w:szCs w:val="21"/>
          <w:highlight w:val="none"/>
          <w:lang w:val="en-US" w:eastAsia="zh-CN"/>
        </w:rPr>
        <w:t>石化行业相关标准</w:t>
      </w:r>
      <w:r>
        <w:rPr>
          <w:rFonts w:hint="default" w:ascii="Times New Roman" w:hAnsi="Times New Roman" w:eastAsiaTheme="minorEastAsia"/>
          <w:szCs w:val="21"/>
          <w:highlight w:val="none"/>
          <w:lang w:eastAsia="zh-CN"/>
        </w:rPr>
        <w:t>的有关规定</w:t>
      </w:r>
      <w:r>
        <w:rPr>
          <w:rFonts w:hint="eastAsia" w:ascii="Times New Roman" w:hAnsi="Times New Roman" w:cs="Times New Roman"/>
          <w:szCs w:val="21"/>
          <w:highlight w:val="none"/>
        </w:rPr>
        <w:t>。</w:t>
      </w:r>
    </w:p>
    <w:p w14:paraId="0EDD89AD">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.3.</w:t>
      </w:r>
      <w:r>
        <w:rPr>
          <w:rFonts w:hint="default" w:ascii="Times New Roman" w:hAnsi="Times New Roman" w:eastAsia="黑体"/>
          <w:b/>
          <w:bCs/>
          <w:kern w:val="0"/>
          <w:szCs w:val="21"/>
          <w:highlight w:val="none"/>
          <w:lang w:val="en-US" w:eastAsia="zh-CN"/>
        </w:rPr>
        <w:t>1</w:t>
      </w:r>
      <w:r>
        <w:rPr>
          <w:rFonts w:hint="eastAsia" w:ascii="Times New Roman" w:hAnsi="Times New Roman" w:eastAsia="黑体"/>
          <w:b/>
          <w:bCs/>
          <w:kern w:val="0"/>
          <w:szCs w:val="21"/>
          <w:highlight w:val="none"/>
          <w:lang w:val="en-US" w:eastAsia="zh-CN"/>
        </w:rPr>
        <w:t>3</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当</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桩周土体因自重固结、地面大面积堆载等因素影响而产生的沉降大于</w:t>
      </w:r>
      <w:r>
        <w:rPr>
          <w:rFonts w:hint="default" w:ascii="Times New Roman" w:hAnsi="Times New Roman" w:eastAsiaTheme="minorEastAsia"/>
          <w:szCs w:val="21"/>
          <w:highlight w:val="none"/>
          <w:lang w:val="en-US" w:eastAsia="zh-CN"/>
        </w:rPr>
        <w:t>桩</w:t>
      </w:r>
      <w:r>
        <w:rPr>
          <w:rFonts w:hint="default" w:ascii="Times New Roman" w:hAnsi="Times New Roman" w:eastAsiaTheme="minorEastAsia"/>
          <w:szCs w:val="21"/>
          <w:highlight w:val="none"/>
        </w:rPr>
        <w:t>的沉降时，应根据工程具体情况考虑负摩阻力对桩基承载力和沉降的影响</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当无工程经验时，可按现行行业标准《建筑桩基技术规范》JGJ</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94的有关规定估算。</w:t>
      </w:r>
      <w:r>
        <w:rPr>
          <w:rFonts w:hint="eastAsia" w:ascii="Times New Roman" w:hAnsi="Times New Roman" w:eastAsiaTheme="minorEastAsia"/>
          <w:szCs w:val="21"/>
          <w:highlight w:val="none"/>
          <w:lang w:val="en-US" w:eastAsia="zh-CN"/>
        </w:rPr>
        <w:t>负摩阻力按外芯周长进行计算。</w:t>
      </w:r>
    </w:p>
    <w:p w14:paraId="54ECBF9B">
      <w:pPr>
        <w:spacing w:line="312" w:lineRule="exact"/>
        <w:rPr>
          <w:rFonts w:hint="default" w:ascii="Times New Roman" w:hAnsi="Times New Roman" w:eastAsiaTheme="minorEastAsia"/>
          <w:color w:val="0000FF"/>
          <w:szCs w:val="21"/>
          <w:highlight w:val="none"/>
        </w:rPr>
      </w:pPr>
      <w:r>
        <w:rPr>
          <w:rFonts w:hint="default" w:ascii="Times New Roman" w:hAnsi="Times New Roman" w:eastAsia="黑体"/>
          <w:b/>
          <w:bCs/>
          <w:kern w:val="0"/>
          <w:szCs w:val="21"/>
          <w:highlight w:val="none"/>
        </w:rPr>
        <w:t>4.3.1</w:t>
      </w:r>
      <w:r>
        <w:rPr>
          <w:rFonts w:hint="eastAsia" w:ascii="Times New Roman" w:hAnsi="Times New Roman" w:eastAsia="黑体"/>
          <w:b/>
          <w:bCs/>
          <w:kern w:val="0"/>
          <w:szCs w:val="21"/>
          <w:highlight w:val="none"/>
          <w:lang w:val="en-US" w:eastAsia="zh-CN"/>
        </w:rPr>
        <w:t>4</w:t>
      </w:r>
      <w:r>
        <w:rPr>
          <w:rFonts w:hint="default" w:ascii="Times New Roman" w:hAnsi="Times New Roman" w:eastAsia="黑体"/>
          <w:kern w:val="0"/>
          <w:szCs w:val="21"/>
          <w:highlight w:val="none"/>
          <w:lang w:val="en-US" w:eastAsia="zh-CN"/>
        </w:rPr>
        <w:t xml:space="preserve"> </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基础的沉降变形计算值不应大于桩基沉降变形允许值。桩基沉降变形允许值</w:t>
      </w:r>
      <w:r>
        <w:rPr>
          <w:rFonts w:hint="eastAsia" w:ascii="Times New Roman" w:hAnsi="Times New Roman" w:eastAsiaTheme="minorEastAsia"/>
          <w:szCs w:val="21"/>
          <w:highlight w:val="none"/>
          <w:lang w:val="en-US" w:eastAsia="zh-CN"/>
        </w:rPr>
        <w:t>不应大于设计要求，且应符合</w:t>
      </w:r>
      <w:r>
        <w:rPr>
          <w:rFonts w:hint="default" w:ascii="Times New Roman" w:hAnsi="Times New Roman" w:eastAsiaTheme="minorEastAsia"/>
          <w:szCs w:val="21"/>
          <w:highlight w:val="none"/>
        </w:rPr>
        <w:t>国家现行标准《建筑地基基础设计规范》GB</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50007、</w:t>
      </w:r>
      <w:r>
        <w:rPr>
          <w:rFonts w:hint="eastAsia" w:ascii="Times New Roman" w:hAnsi="Times New Roman" w:eastAsiaTheme="minorEastAsia"/>
          <w:szCs w:val="21"/>
          <w:highlight w:val="none"/>
          <w:lang w:val="en-US" w:eastAsia="zh-CN"/>
        </w:rPr>
        <w:t>行业现行标准</w:t>
      </w:r>
      <w:r>
        <w:rPr>
          <w:rFonts w:hint="default" w:ascii="Times New Roman" w:hAnsi="Times New Roman" w:eastAsiaTheme="minorEastAsia"/>
          <w:szCs w:val="21"/>
          <w:highlight w:val="none"/>
        </w:rPr>
        <w:t>《建筑桩基技术规范》JGJ</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94</w:t>
      </w:r>
      <w:r>
        <w:rPr>
          <w:rFonts w:hint="eastAsia" w:ascii="Times New Roman" w:hAnsi="Times New Roman" w:eastAsiaTheme="minorEastAsia"/>
          <w:szCs w:val="21"/>
          <w:highlight w:val="none"/>
          <w:lang w:val="en-US" w:eastAsia="zh-CN"/>
        </w:rPr>
        <w:t>和石化行业相关标准</w:t>
      </w:r>
      <w:r>
        <w:rPr>
          <w:rFonts w:hint="default" w:ascii="Times New Roman" w:hAnsi="Times New Roman" w:eastAsiaTheme="minorEastAsia"/>
          <w:szCs w:val="21"/>
          <w:highlight w:val="none"/>
        </w:rPr>
        <w:t>的有关规定。</w:t>
      </w:r>
    </w:p>
    <w:p w14:paraId="3A216B59">
      <w:pPr>
        <w:spacing w:line="312" w:lineRule="exact"/>
        <w:rPr>
          <w:rFonts w:hint="eastAsia" w:ascii="Times New Roman" w:hAnsi="Times New Roman" w:eastAsiaTheme="minorEastAsia"/>
          <w:color w:val="0000FF"/>
          <w:szCs w:val="21"/>
          <w:highlight w:val="none"/>
          <w:lang w:eastAsia="zh-CN"/>
        </w:rPr>
      </w:pPr>
      <w:r>
        <w:rPr>
          <w:rFonts w:hint="default" w:ascii="Times New Roman" w:hAnsi="Times New Roman" w:eastAsia="黑体"/>
          <w:b/>
          <w:bCs/>
          <w:kern w:val="0"/>
          <w:szCs w:val="21"/>
          <w:highlight w:val="none"/>
        </w:rPr>
        <w:t>4.3.1</w:t>
      </w:r>
      <w:r>
        <w:rPr>
          <w:rFonts w:hint="eastAsia" w:ascii="Times New Roman" w:hAnsi="Times New Roman" w:eastAsia="黑体"/>
          <w:b/>
          <w:bCs/>
          <w:kern w:val="0"/>
          <w:szCs w:val="21"/>
          <w:highlight w:val="none"/>
          <w:lang w:val="en-US" w:eastAsia="zh-CN"/>
        </w:rPr>
        <w:t>5</w:t>
      </w:r>
      <w:r>
        <w:rPr>
          <w:rFonts w:hint="default" w:ascii="Times New Roman" w:hAnsi="Times New Roman" w:eastAsia="黑体"/>
          <w:kern w:val="0"/>
          <w:szCs w:val="21"/>
          <w:highlight w:val="none"/>
          <w:lang w:val="en-US" w:eastAsia="zh-CN"/>
        </w:rPr>
        <w:t xml:space="preserve"> </w:t>
      </w:r>
      <w:r>
        <w:rPr>
          <w:rFonts w:hint="default" w:ascii="Times New Roman" w:hAnsi="Times New Roman" w:eastAsiaTheme="minorEastAsia"/>
          <w:szCs w:val="21"/>
          <w:highlight w:val="none"/>
          <w:lang w:eastAsia="zh-CN"/>
        </w:rPr>
        <w:t>当桩端平面以下受力影响范围内存在软弱下卧层时，</w:t>
      </w:r>
      <w:r>
        <w:rPr>
          <w:rFonts w:hint="default" w:ascii="Times New Roman" w:hAnsi="Times New Roman" w:eastAsiaTheme="minorEastAsia"/>
          <w:szCs w:val="21"/>
          <w:highlight w:val="none"/>
          <w:lang w:val="en-US" w:eastAsia="zh-CN"/>
        </w:rPr>
        <w:t>桩</w:t>
      </w:r>
      <w:r>
        <w:rPr>
          <w:rFonts w:hint="eastAsia" w:ascii="Times New Roman" w:hAnsi="Times New Roman" w:eastAsiaTheme="minorEastAsia"/>
          <w:szCs w:val="21"/>
          <w:highlight w:val="none"/>
          <w:lang w:val="en-US" w:eastAsia="zh-CN"/>
        </w:rPr>
        <w:t>端</w:t>
      </w:r>
      <w:r>
        <w:rPr>
          <w:rFonts w:hint="default" w:ascii="Times New Roman" w:hAnsi="Times New Roman" w:eastAsiaTheme="minorEastAsia"/>
          <w:szCs w:val="21"/>
          <w:highlight w:val="none"/>
          <w:lang w:val="en-US" w:eastAsia="zh-CN"/>
        </w:rPr>
        <w:t>以下持力层厚度不宜小于</w:t>
      </w:r>
      <w:r>
        <w:rPr>
          <w:rFonts w:hint="eastAsia" w:ascii="Times New Roman" w:hAnsi="Times New Roman" w:eastAsiaTheme="minorEastAsia"/>
          <w:szCs w:val="21"/>
          <w:highlight w:val="none"/>
          <w:lang w:val="en-US" w:eastAsia="zh-CN"/>
        </w:rPr>
        <w:t>4d</w:t>
      </w:r>
      <w:r>
        <w:rPr>
          <w:rFonts w:hint="eastAsia"/>
          <w:highlight w:val="none"/>
          <w:lang w:val="en-US" w:eastAsia="zh-CN"/>
        </w:rPr>
        <w:t>，且不小于</w:t>
      </w:r>
      <w:r>
        <w:rPr>
          <w:rFonts w:hint="eastAsia" w:ascii="Times New Roman" w:hAnsi="Times New Roman" w:eastAsiaTheme="minorEastAsia"/>
          <w:szCs w:val="21"/>
          <w:highlight w:val="none"/>
          <w:lang w:val="en-US" w:eastAsia="zh-CN"/>
        </w:rPr>
        <w:t>3m</w:t>
      </w:r>
      <w:r>
        <w:rPr>
          <w:rFonts w:hint="default" w:ascii="Times New Roman" w:hAnsi="Times New Roman" w:eastAsiaTheme="minorEastAsia"/>
          <w:szCs w:val="21"/>
          <w:highlight w:val="none"/>
          <w:lang w:val="en-US" w:eastAsia="zh-CN"/>
        </w:rPr>
        <w:t>，</w:t>
      </w:r>
      <w:r>
        <w:rPr>
          <w:rFonts w:hint="eastAsia" w:ascii="Times New Roman" w:hAnsi="Times New Roman" w:eastAsiaTheme="minorEastAsia"/>
          <w:szCs w:val="21"/>
          <w:highlight w:val="none"/>
          <w:lang w:val="en-US" w:eastAsia="zh-CN"/>
        </w:rPr>
        <w:t>且</w:t>
      </w:r>
      <w:r>
        <w:rPr>
          <w:rFonts w:hint="default" w:ascii="Times New Roman" w:hAnsi="Times New Roman" w:eastAsiaTheme="minorEastAsia"/>
          <w:szCs w:val="21"/>
          <w:highlight w:val="none"/>
        </w:rPr>
        <w:t>应根据工程具体情况</w:t>
      </w:r>
      <w:r>
        <w:rPr>
          <w:rFonts w:hint="default" w:ascii="Times New Roman" w:hAnsi="Times New Roman" w:eastAsiaTheme="minorEastAsia"/>
          <w:szCs w:val="21"/>
          <w:highlight w:val="none"/>
          <w:lang w:eastAsia="zh-CN"/>
        </w:rPr>
        <w:t>验算软弱下卧层的承载力</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当无工程经验时，可按现行行业标准《建筑桩基技术规范》JGJ</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94的有关规定</w:t>
      </w:r>
      <w:r>
        <w:rPr>
          <w:rFonts w:hint="eastAsia" w:ascii="Times New Roman" w:hAnsi="Times New Roman" w:eastAsiaTheme="minorEastAsia"/>
          <w:szCs w:val="21"/>
          <w:highlight w:val="none"/>
          <w:lang w:val="en-US" w:eastAsia="zh-CN"/>
        </w:rPr>
        <w:t>进行验</w:t>
      </w:r>
      <w:r>
        <w:rPr>
          <w:rFonts w:hint="default" w:ascii="Times New Roman" w:hAnsi="Times New Roman" w:eastAsiaTheme="minorEastAsia"/>
          <w:szCs w:val="21"/>
          <w:highlight w:val="none"/>
        </w:rPr>
        <w:t>算</w:t>
      </w:r>
      <w:r>
        <w:rPr>
          <w:rFonts w:hint="eastAsia" w:ascii="Times New Roman" w:hAnsi="Times New Roman" w:eastAsiaTheme="minorEastAsia"/>
          <w:szCs w:val="21"/>
          <w:highlight w:val="none"/>
          <w:lang w:eastAsia="zh-CN"/>
        </w:rPr>
        <w:t>。</w:t>
      </w:r>
    </w:p>
    <w:p w14:paraId="33E4D202">
      <w:pPr>
        <w:spacing w:line="312" w:lineRule="exact"/>
        <w:rPr>
          <w:rFonts w:hint="eastAsia" w:ascii="宋体" w:hAnsi="宋体"/>
          <w:bCs/>
          <w:szCs w:val="21"/>
          <w:highlight w:val="none"/>
          <w:lang w:val="en-US" w:eastAsia="zh-CN"/>
        </w:rPr>
      </w:pPr>
      <w:r>
        <w:rPr>
          <w:rFonts w:hint="default" w:ascii="Times New Roman" w:hAnsi="Times New Roman" w:eastAsia="黑体"/>
          <w:b/>
          <w:bCs/>
          <w:kern w:val="0"/>
          <w:szCs w:val="21"/>
          <w:highlight w:val="none"/>
        </w:rPr>
        <w:t>4.3.1</w:t>
      </w:r>
      <w:r>
        <w:rPr>
          <w:rFonts w:hint="eastAsia" w:ascii="Times New Roman" w:hAnsi="Times New Roman" w:eastAsia="黑体"/>
          <w:b/>
          <w:bCs/>
          <w:kern w:val="0"/>
          <w:szCs w:val="21"/>
          <w:highlight w:val="none"/>
          <w:lang w:val="en-US" w:eastAsia="zh-CN"/>
        </w:rPr>
        <w:t>6</w:t>
      </w:r>
      <w:r>
        <w:rPr>
          <w:rFonts w:hint="default" w:ascii="Times New Roman" w:hAnsi="Times New Roman" w:eastAsia="黑体"/>
          <w:kern w:val="0"/>
          <w:szCs w:val="21"/>
          <w:highlight w:val="none"/>
          <w:lang w:val="en-US" w:eastAsia="zh-CN"/>
        </w:rPr>
        <w:t xml:space="preserve"> </w:t>
      </w:r>
      <w:r>
        <w:rPr>
          <w:rFonts w:hint="default" w:ascii="Times New Roman" w:hAnsi="Times New Roman" w:eastAsiaTheme="minorEastAsia"/>
          <w:szCs w:val="21"/>
          <w:highlight w:val="none"/>
          <w:lang w:val="en-US" w:eastAsia="zh-CN"/>
        </w:rPr>
        <w:t>对于桩身穿越可液化土或不排水抗剪强度小于10kPa（地基承载力特征值小于25kPa）的软弱土层的基桩，应考虑压屈影响</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lang w:eastAsia="zh-CN"/>
        </w:rPr>
        <w:t>基础的</w:t>
      </w:r>
      <w:r>
        <w:rPr>
          <w:rFonts w:hint="default" w:ascii="Times New Roman" w:hAnsi="Times New Roman" w:eastAsiaTheme="minorEastAsia"/>
          <w:szCs w:val="21"/>
          <w:highlight w:val="none"/>
        </w:rPr>
        <w:t>桩身压</w:t>
      </w:r>
      <w:r>
        <w:rPr>
          <w:rFonts w:hint="eastAsia" w:ascii="Times New Roman" w:hAnsi="Times New Roman" w:eastAsiaTheme="minorEastAsia"/>
          <w:szCs w:val="21"/>
          <w:highlight w:val="none"/>
          <w:lang w:val="en-US" w:eastAsia="zh-CN"/>
        </w:rPr>
        <w:t>屈</w:t>
      </w:r>
      <w:r>
        <w:rPr>
          <w:rFonts w:hint="default" w:ascii="Times New Roman" w:hAnsi="Times New Roman" w:eastAsiaTheme="minorEastAsia"/>
          <w:szCs w:val="21"/>
          <w:highlight w:val="none"/>
        </w:rPr>
        <w:t>计算</w:t>
      </w:r>
      <w:r>
        <w:rPr>
          <w:rFonts w:hint="default" w:ascii="Times New Roman" w:hAnsi="Times New Roman" w:eastAsiaTheme="minorEastAsia"/>
          <w:szCs w:val="21"/>
          <w:highlight w:val="none"/>
          <w:lang w:val="en-US" w:eastAsia="zh-CN"/>
        </w:rPr>
        <w:t>可按</w:t>
      </w:r>
      <w:r>
        <w:rPr>
          <w:rFonts w:hint="default" w:ascii="Times New Roman" w:hAnsi="Times New Roman" w:eastAsiaTheme="minorEastAsia"/>
          <w:szCs w:val="21"/>
          <w:highlight w:val="none"/>
        </w:rPr>
        <w:t>现行行业标准</w:t>
      </w:r>
      <w:r>
        <w:rPr>
          <w:rFonts w:hint="default" w:ascii="Times New Roman" w:hAnsi="Times New Roman" w:eastAsiaTheme="minorEastAsia"/>
          <w:szCs w:val="21"/>
          <w:highlight w:val="none"/>
          <w:lang w:eastAsia="zh-CN"/>
        </w:rPr>
        <w:t>《建筑桩基技术规范》</w:t>
      </w:r>
      <w:r>
        <w:rPr>
          <w:rFonts w:hint="default" w:ascii="Times New Roman" w:hAnsi="Times New Roman" w:eastAsiaTheme="minorEastAsia"/>
          <w:szCs w:val="21"/>
          <w:highlight w:val="none"/>
        </w:rPr>
        <w:t>JGJ</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94</w:t>
      </w:r>
      <w:r>
        <w:rPr>
          <w:rFonts w:hint="default" w:ascii="Times New Roman" w:hAnsi="Times New Roman" w:eastAsiaTheme="minorEastAsia"/>
          <w:szCs w:val="21"/>
          <w:highlight w:val="none"/>
          <w:lang w:eastAsia="zh-CN"/>
        </w:rPr>
        <w:t>的有关规定执行。</w:t>
      </w:r>
      <w:r>
        <w:rPr>
          <w:rFonts w:hint="eastAsia" w:ascii="宋体" w:hAnsi="宋体"/>
          <w:bCs/>
          <w:szCs w:val="21"/>
          <w:highlight w:val="none"/>
          <w:lang w:val="en-US" w:eastAsia="zh-CN"/>
        </w:rPr>
        <w:t>桩身参数根据外芯材料的不同采取不同的计算方式。当外芯材料为水泥土或固化土、水泥砂浆时，按芯桩计算。当外芯材料为混凝土时，可按复合截面进行计算。</w:t>
      </w:r>
    </w:p>
    <w:p w14:paraId="64DFE966">
      <w:pPr>
        <w:keepNext w:val="0"/>
        <w:keepLines w:val="0"/>
        <w:pageBreakBefore w:val="0"/>
        <w:widowControl w:val="0"/>
        <w:kinsoku/>
        <w:wordWrap/>
        <w:overflowPunct/>
        <w:topLinePunct w:val="0"/>
        <w:autoSpaceDE/>
        <w:autoSpaceDN/>
        <w:bidi w:val="0"/>
        <w:adjustRightInd/>
        <w:snapToGrid/>
        <w:spacing w:line="312" w:lineRule="exact"/>
        <w:jc w:val="left"/>
        <w:textAlignment w:val="auto"/>
        <w:rPr>
          <w:rFonts w:hint="eastAsia"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3</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17</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预制桩植桩用于动力设备基础时，其动力特征参数应符合下列规定：</w:t>
      </w:r>
    </w:p>
    <w:p w14:paraId="13CEF822">
      <w:pPr>
        <w:keepNext w:val="0"/>
        <w:keepLines w:val="0"/>
        <w:pageBreakBefore w:val="0"/>
        <w:widowControl w:val="0"/>
        <w:kinsoku/>
        <w:wordWrap/>
        <w:overflowPunct/>
        <w:topLinePunct w:val="0"/>
        <w:autoSpaceDE/>
        <w:autoSpaceDN/>
        <w:bidi w:val="0"/>
        <w:adjustRightInd/>
        <w:snapToGrid/>
        <w:spacing w:line="312" w:lineRule="exact"/>
        <w:ind w:firstLine="422" w:firstLineChars="200"/>
        <w:jc w:val="left"/>
        <w:textAlignment w:val="auto"/>
        <w:rPr>
          <w:rFonts w:hint="default" w:ascii="Times New Roman" w:hAnsi="Times New Roman" w:eastAsiaTheme="minorEastAsia"/>
          <w:szCs w:val="21"/>
          <w:highlight w:val="none"/>
          <w:lang w:val="en-US" w:eastAsia="zh-CN"/>
        </w:rPr>
      </w:pPr>
      <w:r>
        <w:rPr>
          <w:rStyle w:val="51"/>
          <w:rFonts w:hint="eastAsia" w:ascii="Times New Roman" w:hAnsi="Times New Roman"/>
          <w:b/>
          <w:bCs/>
          <w:highlight w:val="none"/>
          <w:lang w:val="en-US" w:eastAsia="zh-CN"/>
        </w:rPr>
        <w:t>1</w:t>
      </w:r>
      <w:r>
        <w:rPr>
          <w:rFonts w:hint="eastAsia" w:ascii="Times New Roman" w:hAnsi="Times New Roman" w:eastAsiaTheme="minorEastAsia"/>
          <w:szCs w:val="21"/>
          <w:highlight w:val="none"/>
          <w:lang w:val="en-US" w:eastAsia="zh-CN"/>
        </w:rPr>
        <w:t xml:space="preserve"> 预制桩植桩的动力参数宜由现场测试确定，当无测试条件时，宜按现行国家标准《动力机器基础设计标准》GB 50040的相关规定执行；</w:t>
      </w:r>
    </w:p>
    <w:p w14:paraId="2854FB7C">
      <w:pPr>
        <w:keepNext w:val="0"/>
        <w:keepLines w:val="0"/>
        <w:pageBreakBefore w:val="0"/>
        <w:widowControl w:val="0"/>
        <w:kinsoku/>
        <w:wordWrap/>
        <w:overflowPunct/>
        <w:topLinePunct w:val="0"/>
        <w:autoSpaceDE/>
        <w:autoSpaceDN/>
        <w:bidi w:val="0"/>
        <w:adjustRightInd/>
        <w:snapToGrid/>
        <w:spacing w:line="312" w:lineRule="exact"/>
        <w:ind w:firstLine="422" w:firstLineChars="200"/>
        <w:jc w:val="left"/>
        <w:textAlignment w:val="auto"/>
        <w:rPr>
          <w:rFonts w:hint="eastAsia" w:ascii="Times New Roman" w:hAnsi="Times New Roman" w:eastAsiaTheme="minorEastAsia"/>
          <w:szCs w:val="21"/>
          <w:highlight w:val="none"/>
          <w:lang w:val="en-US" w:eastAsia="zh-CN"/>
        </w:rPr>
      </w:pPr>
      <w:r>
        <w:rPr>
          <w:rStyle w:val="51"/>
          <w:rFonts w:hint="eastAsia" w:ascii="Times New Roman" w:hAnsi="Times New Roman"/>
          <w:b/>
          <w:bCs/>
          <w:highlight w:val="none"/>
          <w:lang w:val="en-US" w:eastAsia="zh-CN"/>
        </w:rPr>
        <w:t>2</w:t>
      </w:r>
      <w:r>
        <w:rPr>
          <w:rFonts w:hint="eastAsia" w:ascii="Times New Roman" w:hAnsi="Times New Roman" w:eastAsiaTheme="minorEastAsia"/>
          <w:szCs w:val="21"/>
          <w:highlight w:val="none"/>
          <w:lang w:val="en-US" w:eastAsia="zh-CN"/>
        </w:rPr>
        <w:t xml:space="preserve"> 动力参数计算时，</w:t>
      </w:r>
      <w:r>
        <w:rPr>
          <w:rFonts w:hint="eastAsia"/>
          <w:bCs/>
          <w:position w:val="0"/>
          <w:szCs w:val="18"/>
          <w:highlight w:val="none"/>
          <w:lang w:val="en-US" w:eastAsia="zh-CN"/>
        </w:rPr>
        <w:t>对于水泥土或固化土、水泥砂浆为外芯的预制桩植桩，基桩参数宜按芯桩进行计算；对于混凝土为外芯的预制桩植桩，基桩参数可按复合截面进行计算</w:t>
      </w:r>
      <w:r>
        <w:rPr>
          <w:rFonts w:hint="eastAsia" w:ascii="Times New Roman" w:hAnsi="Times New Roman" w:eastAsiaTheme="minorEastAsia"/>
          <w:szCs w:val="21"/>
          <w:highlight w:val="none"/>
          <w:lang w:val="en-US" w:eastAsia="zh-CN"/>
        </w:rPr>
        <w:t>。</w:t>
      </w:r>
    </w:p>
    <w:p w14:paraId="566D9BEE">
      <w:pPr>
        <w:pStyle w:val="3"/>
        <w:spacing w:before="312" w:after="312"/>
        <w:rPr>
          <w:rFonts w:hint="default" w:ascii="Times New Roman" w:hAnsi="Times New Roman" w:cs="Times New Roman"/>
          <w:highlight w:val="none"/>
          <w:lang w:val="en-US"/>
        </w:rPr>
      </w:pPr>
      <w:bookmarkStart w:id="66" w:name="_Toc478803283"/>
      <w:bookmarkStart w:id="67" w:name="_Toc478810141"/>
      <w:bookmarkStart w:id="68" w:name="_Toc1257"/>
      <w:bookmarkStart w:id="69" w:name="_Toc31114"/>
      <w:bookmarkStart w:id="70" w:name="_Toc28452"/>
      <w:bookmarkStart w:id="71" w:name="_4.4 构造要求"/>
      <w:bookmarkStart w:id="72" w:name="_4.4 桩的构造"/>
      <w:r>
        <w:rPr>
          <w:rFonts w:hint="default" w:ascii="Times New Roman" w:hAnsi="Times New Roman" w:cs="Times New Roman"/>
          <w:b/>
          <w:bCs w:val="0"/>
          <w:highlight w:val="none"/>
        </w:rPr>
        <w:t>4.4</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构造</w:t>
      </w:r>
      <w:bookmarkEnd w:id="66"/>
      <w:bookmarkEnd w:id="67"/>
      <w:bookmarkEnd w:id="68"/>
      <w:bookmarkEnd w:id="69"/>
      <w:r>
        <w:rPr>
          <w:rFonts w:hint="eastAsia" w:ascii="Times New Roman" w:hAnsi="Times New Roman" w:cs="Times New Roman"/>
          <w:highlight w:val="none"/>
          <w:lang w:val="en-US" w:eastAsia="zh-CN"/>
        </w:rPr>
        <w:t>要求</w:t>
      </w:r>
      <w:bookmarkEnd w:id="70"/>
    </w:p>
    <w:bookmarkEnd w:id="71"/>
    <w:bookmarkEnd w:id="72"/>
    <w:p w14:paraId="77D9FA9D">
      <w:pPr>
        <w:spacing w:line="312" w:lineRule="exact"/>
        <w:rPr>
          <w:rFonts w:hint="default" w:ascii="Times New Roman" w:hAnsi="Times New Roman" w:eastAsia="宋体"/>
          <w:color w:val="auto"/>
          <w:szCs w:val="21"/>
          <w:highlight w:val="none"/>
          <w:lang w:val="en-US" w:eastAsia="zh-CN"/>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.1</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搅拌植桩和高压旋喷植桩</w:t>
      </w:r>
      <w:r>
        <w:rPr>
          <w:rFonts w:hint="eastAsia" w:ascii="Times New Roman" w:hAnsi="Times New Roman" w:eastAsiaTheme="minorEastAsia"/>
          <w:szCs w:val="21"/>
          <w:highlight w:val="none"/>
          <w:lang w:val="en-US" w:eastAsia="zh-CN"/>
        </w:rPr>
        <w:t>的水泥土或固</w:t>
      </w:r>
      <w:r>
        <w:rPr>
          <w:rFonts w:hint="eastAsia" w:ascii="Times New Roman" w:hAnsi="Times New Roman" w:eastAsiaTheme="minorEastAsia"/>
          <w:color w:val="auto"/>
          <w:szCs w:val="21"/>
          <w:highlight w:val="none"/>
          <w:lang w:val="en-US" w:eastAsia="zh-CN"/>
        </w:rPr>
        <w:t>化土</w:t>
      </w:r>
      <w:r>
        <w:rPr>
          <w:rFonts w:hint="default" w:ascii="Times New Roman" w:hAnsi="Times New Roman" w:eastAsiaTheme="minorEastAsia"/>
          <w:color w:val="auto"/>
          <w:szCs w:val="21"/>
          <w:highlight w:val="none"/>
          <w:lang w:val="en-US" w:eastAsia="zh-CN"/>
        </w:rPr>
        <w:t>中</w:t>
      </w:r>
      <w:r>
        <w:rPr>
          <w:rFonts w:hint="eastAsia" w:ascii="Times New Roman" w:hAnsi="Times New Roman" w:eastAsiaTheme="minorEastAsia"/>
          <w:color w:val="auto"/>
          <w:szCs w:val="21"/>
          <w:highlight w:val="none"/>
          <w:lang w:val="en-US" w:eastAsia="zh-CN"/>
        </w:rPr>
        <w:t>的固化材料</w:t>
      </w:r>
      <w:r>
        <w:rPr>
          <w:rFonts w:hint="default" w:ascii="Times New Roman" w:hAnsi="Times New Roman"/>
          <w:color w:val="auto"/>
          <w:szCs w:val="21"/>
          <w:highlight w:val="none"/>
        </w:rPr>
        <w:t>宜选用</w:t>
      </w:r>
      <w:r>
        <w:rPr>
          <w:rFonts w:hint="eastAsia" w:ascii="Times New Roman" w:hAnsi="Times New Roman"/>
          <w:color w:val="auto"/>
          <w:szCs w:val="21"/>
          <w:highlight w:val="none"/>
          <w:lang w:val="en-US" w:eastAsia="zh-CN"/>
        </w:rPr>
        <w:t>强度等级为</w:t>
      </w:r>
      <w:r>
        <w:rPr>
          <w:rFonts w:hint="default" w:ascii="Times New Roman" w:hAnsi="Times New Roman"/>
          <w:color w:val="auto"/>
          <w:szCs w:val="21"/>
          <w:highlight w:val="none"/>
        </w:rPr>
        <w:t>42.5级</w:t>
      </w:r>
      <w:r>
        <w:rPr>
          <w:rFonts w:hint="eastAsia" w:ascii="宋体" w:hAnsi="宋体"/>
          <w:color w:val="auto"/>
          <w:szCs w:val="21"/>
          <w:highlight w:val="none"/>
          <w:lang w:eastAsia="zh-CN"/>
        </w:rPr>
        <w:t>及以上</w:t>
      </w:r>
      <w:r>
        <w:rPr>
          <w:rFonts w:hint="eastAsia" w:ascii="Times New Roman" w:hAnsi="Times New Roman"/>
          <w:color w:val="auto"/>
          <w:szCs w:val="21"/>
          <w:highlight w:val="none"/>
          <w:lang w:val="en-US" w:eastAsia="zh-CN"/>
        </w:rPr>
        <w:t>的</w:t>
      </w:r>
      <w:r>
        <w:rPr>
          <w:rFonts w:hint="default" w:ascii="Times New Roman" w:hAnsi="Times New Roman"/>
          <w:color w:val="auto"/>
          <w:szCs w:val="21"/>
          <w:highlight w:val="none"/>
        </w:rPr>
        <w:t>普通硅酸水泥或硅酸盐水泥</w:t>
      </w:r>
      <w:r>
        <w:rPr>
          <w:rFonts w:hint="eastAsia" w:ascii="Times New Roman" w:hAnsi="Times New Roman"/>
          <w:color w:val="auto"/>
          <w:szCs w:val="21"/>
          <w:highlight w:val="none"/>
          <w:lang w:val="en-US" w:eastAsia="zh-CN"/>
        </w:rPr>
        <w:t>或者采用SS-W-S软土固化剂</w:t>
      </w:r>
      <w:r>
        <w:rPr>
          <w:rFonts w:hint="eastAsia" w:ascii="Times New Roman" w:hAnsi="Times New Roman"/>
          <w:color w:val="auto"/>
          <w:szCs w:val="21"/>
          <w:highlight w:val="none"/>
          <w:lang w:eastAsia="zh-CN"/>
        </w:rPr>
        <w:t>，</w:t>
      </w:r>
      <w:r>
        <w:rPr>
          <w:rFonts w:ascii="Times New Roman" w:hAnsi="Times New Roman" w:eastAsiaTheme="minorEastAsia"/>
          <w:color w:val="auto"/>
          <w:szCs w:val="21"/>
          <w:highlight w:val="none"/>
        </w:rPr>
        <w:t>水泥掺量</w:t>
      </w:r>
      <w:r>
        <w:rPr>
          <w:rFonts w:hint="default" w:ascii="Times New Roman" w:hAnsi="Times New Roman" w:eastAsiaTheme="minorEastAsia"/>
          <w:color w:val="auto"/>
          <w:szCs w:val="21"/>
          <w:highlight w:val="none"/>
          <w:lang w:val="en-US" w:eastAsia="zh-CN"/>
        </w:rPr>
        <w:t>可取</w:t>
      </w:r>
      <w:r>
        <w:rPr>
          <w:rFonts w:ascii="Times New Roman" w:hAnsi="Times New Roman" w:eastAsiaTheme="minorEastAsia"/>
          <w:color w:val="auto"/>
          <w:szCs w:val="21"/>
          <w:highlight w:val="none"/>
        </w:rPr>
        <w:t>12％</w:t>
      </w:r>
      <w:r>
        <w:rPr>
          <w:rFonts w:hint="default" w:ascii="Times New Roman" w:hAnsi="Times New Roman" w:eastAsiaTheme="minorEastAsia"/>
          <w:color w:val="auto"/>
          <w:szCs w:val="21"/>
          <w:highlight w:val="none"/>
          <w:lang w:val="en-US" w:eastAsia="zh-CN"/>
        </w:rPr>
        <w:t>~20%</w:t>
      </w:r>
      <w:r>
        <w:rPr>
          <w:rFonts w:hint="eastAsia" w:ascii="Times New Roman" w:hAnsi="Times New Roman" w:eastAsiaTheme="minorEastAsia"/>
          <w:color w:val="auto"/>
          <w:szCs w:val="21"/>
          <w:highlight w:val="none"/>
          <w:lang w:eastAsia="zh-CN"/>
        </w:rPr>
        <w:t>，</w:t>
      </w:r>
      <w:r>
        <w:rPr>
          <w:rFonts w:hint="eastAsia" w:ascii="Times New Roman" w:hAnsi="Times New Roman" w:eastAsiaTheme="minorEastAsia"/>
          <w:color w:val="auto"/>
          <w:szCs w:val="21"/>
          <w:highlight w:val="none"/>
          <w:lang w:val="en-US" w:eastAsia="zh-CN"/>
        </w:rPr>
        <w:t>固化剂</w:t>
      </w:r>
      <w:r>
        <w:rPr>
          <w:rFonts w:ascii="Times New Roman" w:hAnsi="Times New Roman" w:eastAsiaTheme="minorEastAsia"/>
          <w:color w:val="auto"/>
          <w:szCs w:val="21"/>
          <w:highlight w:val="none"/>
        </w:rPr>
        <w:t>掺量</w:t>
      </w:r>
      <w:r>
        <w:rPr>
          <w:rFonts w:hint="default" w:ascii="Times New Roman" w:hAnsi="Times New Roman" w:eastAsiaTheme="minorEastAsia"/>
          <w:color w:val="auto"/>
          <w:szCs w:val="21"/>
          <w:highlight w:val="none"/>
          <w:lang w:val="en-US" w:eastAsia="zh-CN"/>
        </w:rPr>
        <w:t>可取</w:t>
      </w:r>
      <w:r>
        <w:rPr>
          <w:rFonts w:ascii="Times New Roman" w:hAnsi="Times New Roman" w:eastAsiaTheme="minorEastAsia"/>
          <w:color w:val="auto"/>
          <w:szCs w:val="21"/>
          <w:highlight w:val="none"/>
        </w:rPr>
        <w:t>12％</w:t>
      </w:r>
      <w:r>
        <w:rPr>
          <w:rFonts w:hint="default" w:ascii="Times New Roman" w:hAnsi="Times New Roman" w:eastAsiaTheme="minorEastAsia"/>
          <w:color w:val="auto"/>
          <w:szCs w:val="21"/>
          <w:highlight w:val="none"/>
          <w:lang w:val="en-US" w:eastAsia="zh-CN"/>
        </w:rPr>
        <w:t>~</w:t>
      </w:r>
      <w:r>
        <w:rPr>
          <w:rFonts w:hint="eastAsia" w:ascii="Times New Roman" w:hAnsi="Times New Roman" w:eastAsiaTheme="minorEastAsia"/>
          <w:color w:val="auto"/>
          <w:szCs w:val="21"/>
          <w:highlight w:val="none"/>
          <w:lang w:val="en-US" w:eastAsia="zh-CN"/>
        </w:rPr>
        <w:t>3</w:t>
      </w:r>
      <w:r>
        <w:rPr>
          <w:rFonts w:hint="default" w:ascii="Times New Roman" w:hAnsi="Times New Roman" w:eastAsiaTheme="minorEastAsia"/>
          <w:color w:val="auto"/>
          <w:szCs w:val="21"/>
          <w:highlight w:val="none"/>
          <w:lang w:val="en-US" w:eastAsia="zh-CN"/>
        </w:rPr>
        <w:t>0%</w:t>
      </w:r>
      <w:r>
        <w:rPr>
          <w:rFonts w:hint="eastAsia" w:ascii="Times New Roman" w:hAnsi="Times New Roman" w:eastAsiaTheme="minorEastAsia"/>
          <w:color w:val="auto"/>
          <w:szCs w:val="21"/>
          <w:highlight w:val="none"/>
          <w:lang w:eastAsia="zh-CN"/>
        </w:rPr>
        <w:t>，</w:t>
      </w:r>
      <w:r>
        <w:rPr>
          <w:rFonts w:ascii="Times New Roman" w:hAnsi="Times New Roman" w:eastAsiaTheme="minorEastAsia"/>
          <w:color w:val="auto"/>
          <w:szCs w:val="21"/>
          <w:highlight w:val="none"/>
        </w:rPr>
        <w:t>水泥浆水灰比可取0</w:t>
      </w:r>
      <w:r>
        <w:rPr>
          <w:rFonts w:hint="default" w:ascii="Times New Roman" w:hAnsi="Times New Roman" w:eastAsiaTheme="minorEastAsia"/>
          <w:color w:val="auto"/>
          <w:szCs w:val="21"/>
          <w:highlight w:val="none"/>
          <w:lang w:val="en-US" w:eastAsia="zh-CN"/>
        </w:rPr>
        <w:t>.8</w:t>
      </w:r>
      <w:r>
        <w:rPr>
          <w:rFonts w:ascii="Times New Roman" w:hAnsi="Times New Roman" w:eastAsiaTheme="minorEastAsia"/>
          <w:color w:val="auto"/>
          <w:szCs w:val="21"/>
          <w:highlight w:val="none"/>
        </w:rPr>
        <w:t>～</w:t>
      </w:r>
      <w:r>
        <w:rPr>
          <w:rFonts w:hint="default" w:ascii="Times New Roman" w:hAnsi="Times New Roman" w:eastAsiaTheme="minorEastAsia"/>
          <w:color w:val="auto"/>
          <w:szCs w:val="21"/>
          <w:highlight w:val="none"/>
          <w:lang w:val="en-US" w:eastAsia="zh-CN"/>
        </w:rPr>
        <w:t>1.2</w:t>
      </w:r>
      <w:r>
        <w:rPr>
          <w:rFonts w:hint="eastAsia" w:ascii="Times New Roman" w:hAnsi="Times New Roman" w:eastAsiaTheme="minorEastAsia"/>
          <w:color w:val="auto"/>
          <w:szCs w:val="21"/>
          <w:highlight w:val="none"/>
          <w:lang w:val="en-US" w:eastAsia="zh-CN"/>
        </w:rPr>
        <w:t>，固化剂浆液水灰比可取0.5~1.2</w:t>
      </w:r>
      <w:r>
        <w:rPr>
          <w:rFonts w:ascii="Times New Roman" w:hAnsi="Times New Roman" w:eastAsiaTheme="minorEastAsia"/>
          <w:color w:val="auto"/>
          <w:szCs w:val="21"/>
          <w:highlight w:val="none"/>
        </w:rPr>
        <w:t>。</w:t>
      </w:r>
    </w:p>
    <w:p w14:paraId="033514C2">
      <w:pPr>
        <w:adjustRightInd w:val="0"/>
        <w:snapToGrid w:val="0"/>
        <w:spacing w:line="312" w:lineRule="exact"/>
        <w:rPr>
          <w:rFonts w:hint="default" w:ascii="Times New Roman" w:hAnsi="Times New Roman"/>
          <w:szCs w:val="21"/>
          <w:highlight w:val="none"/>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default" w:ascii="Times New Roman" w:hAnsi="Times New Roman" w:eastAsia="黑体"/>
          <w:b/>
          <w:bCs/>
          <w:kern w:val="0"/>
          <w:szCs w:val="21"/>
          <w:highlight w:val="none"/>
          <w:lang w:val="en-US" w:eastAsia="zh-CN"/>
        </w:rPr>
        <w:t>2</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旋挖植桩和长螺旋压灌植桩</w:t>
      </w:r>
      <w:r>
        <w:rPr>
          <w:rFonts w:hint="eastAsia" w:ascii="Times New Roman" w:hAnsi="Times New Roman" w:eastAsiaTheme="minorEastAsia"/>
          <w:szCs w:val="21"/>
          <w:highlight w:val="none"/>
          <w:lang w:val="en-US" w:eastAsia="zh-CN"/>
        </w:rPr>
        <w:t>的外芯</w:t>
      </w:r>
      <w:r>
        <w:rPr>
          <w:rFonts w:hint="default" w:ascii="Times New Roman" w:hAnsi="Times New Roman"/>
          <w:szCs w:val="21"/>
          <w:highlight w:val="none"/>
        </w:rPr>
        <w:t>可选用</w:t>
      </w:r>
      <w:r>
        <w:rPr>
          <w:rFonts w:hint="eastAsia" w:ascii="Times New Roman" w:hAnsi="Times New Roman"/>
          <w:szCs w:val="21"/>
          <w:highlight w:val="none"/>
          <w:lang w:eastAsia="zh-CN"/>
        </w:rPr>
        <w:t>水泥土或固化土</w:t>
      </w:r>
      <w:r>
        <w:rPr>
          <w:rFonts w:hint="default" w:ascii="Times New Roman" w:hAnsi="Times New Roman"/>
          <w:szCs w:val="21"/>
          <w:highlight w:val="none"/>
        </w:rPr>
        <w:t>、水泥砂浆、混凝土等材料。</w:t>
      </w:r>
      <w:r>
        <w:rPr>
          <w:rFonts w:hint="eastAsia" w:ascii="Times New Roman" w:hAnsi="Times New Roman"/>
          <w:szCs w:val="21"/>
          <w:highlight w:val="none"/>
          <w:lang w:val="en-US" w:eastAsia="zh-CN"/>
        </w:rPr>
        <w:t>其材料</w:t>
      </w:r>
      <w:r>
        <w:rPr>
          <w:rFonts w:hint="default" w:ascii="Times New Roman" w:hAnsi="Times New Roman" w:eastAsiaTheme="minorEastAsia"/>
          <w:szCs w:val="21"/>
          <w:highlight w:val="none"/>
        </w:rPr>
        <w:t>应符合下列规定：</w:t>
      </w:r>
    </w:p>
    <w:p w14:paraId="248C3294">
      <w:pPr>
        <w:adjustRightInd w:val="0"/>
        <w:snapToGrid w:val="0"/>
        <w:spacing w:line="312" w:lineRule="exact"/>
        <w:ind w:firstLine="422" w:firstLineChars="200"/>
        <w:rPr>
          <w:rFonts w:hint="eastAsia" w:ascii="Times New Roman" w:hAnsi="Times New Roman"/>
          <w:szCs w:val="21"/>
          <w:highlight w:val="none"/>
          <w:lang w:eastAsia="zh-CN"/>
        </w:rPr>
      </w:pPr>
      <w:r>
        <w:rPr>
          <w:rFonts w:hint="default" w:ascii="Times New Roman" w:hAnsi="Times New Roman" w:eastAsia="黑体"/>
          <w:b/>
          <w:bCs/>
          <w:kern w:val="0"/>
          <w:szCs w:val="21"/>
          <w:highlight w:val="none"/>
          <w:lang w:val="en-US" w:eastAsia="zh-CN"/>
        </w:rPr>
        <w:t>1</w:t>
      </w:r>
      <w:r>
        <w:rPr>
          <w:rFonts w:hint="eastAsia" w:ascii="Times New Roman" w:hAnsi="Times New Roman" w:eastAsia="黑体"/>
          <w:b/>
          <w:bCs/>
          <w:kern w:val="0"/>
          <w:szCs w:val="21"/>
          <w:highlight w:val="none"/>
          <w:lang w:val="en-US" w:eastAsia="zh-CN"/>
        </w:rPr>
        <w:t xml:space="preserve"> </w:t>
      </w:r>
      <w:r>
        <w:rPr>
          <w:rFonts w:hint="default" w:ascii="Times New Roman" w:hAnsi="Times New Roman"/>
          <w:szCs w:val="21"/>
          <w:highlight w:val="none"/>
        </w:rPr>
        <w:t>水泥宜选用</w:t>
      </w:r>
      <w:r>
        <w:rPr>
          <w:rFonts w:hint="eastAsia" w:ascii="Times New Roman" w:hAnsi="Times New Roman"/>
          <w:szCs w:val="21"/>
          <w:highlight w:val="none"/>
          <w:lang w:val="en-US" w:eastAsia="zh-CN"/>
        </w:rPr>
        <w:t>强度等级为</w:t>
      </w:r>
      <w:r>
        <w:rPr>
          <w:rFonts w:hint="default" w:ascii="Times New Roman" w:hAnsi="Times New Roman"/>
          <w:szCs w:val="21"/>
          <w:highlight w:val="none"/>
          <w:lang w:val="en-US" w:eastAsia="zh-CN"/>
        </w:rPr>
        <w:t>42.5级</w:t>
      </w:r>
      <w:r>
        <w:rPr>
          <w:rFonts w:hint="eastAsia" w:ascii="Times New Roman" w:hAnsi="Times New Roman"/>
          <w:szCs w:val="21"/>
          <w:highlight w:val="none"/>
          <w:lang w:val="en-US" w:eastAsia="zh-CN"/>
        </w:rPr>
        <w:t>及以上</w:t>
      </w:r>
      <w:r>
        <w:rPr>
          <w:rFonts w:hint="default" w:ascii="Times New Roman" w:hAnsi="Times New Roman"/>
          <w:szCs w:val="21"/>
          <w:highlight w:val="none"/>
          <w:lang w:val="en-US" w:eastAsia="zh-CN"/>
        </w:rPr>
        <w:t>的普</w:t>
      </w:r>
      <w:r>
        <w:rPr>
          <w:rFonts w:hint="default" w:ascii="Times New Roman" w:hAnsi="Times New Roman"/>
          <w:szCs w:val="21"/>
          <w:highlight w:val="none"/>
        </w:rPr>
        <w:t>通硅酸水泥或硅酸盐水泥</w:t>
      </w:r>
      <w:r>
        <w:rPr>
          <w:rFonts w:hint="eastAsia" w:ascii="Times New Roman" w:hAnsi="Times New Roman"/>
          <w:szCs w:val="21"/>
          <w:highlight w:val="none"/>
          <w:lang w:eastAsia="zh-CN"/>
        </w:rPr>
        <w:t>；</w:t>
      </w:r>
    </w:p>
    <w:p w14:paraId="61F47609">
      <w:pPr>
        <w:adjustRightInd w:val="0"/>
        <w:snapToGrid w:val="0"/>
        <w:spacing w:line="312" w:lineRule="exact"/>
        <w:ind w:firstLine="422" w:firstLineChars="200"/>
        <w:rPr>
          <w:rFonts w:hint="default" w:ascii="Times New Roman" w:hAnsi="Times New Roman"/>
          <w:color w:val="auto"/>
          <w:szCs w:val="21"/>
          <w:highlight w:val="none"/>
          <w:lang w:val="en-US" w:eastAsia="zh-CN"/>
        </w:rPr>
      </w:pPr>
      <w:r>
        <w:rPr>
          <w:rFonts w:hint="eastAsia" w:ascii="Times New Roman" w:hAnsi="Times New Roman" w:eastAsia="黑体"/>
          <w:b/>
          <w:bCs/>
          <w:color w:val="auto"/>
          <w:kern w:val="0"/>
          <w:szCs w:val="21"/>
          <w:highlight w:val="none"/>
          <w:lang w:val="en-US" w:eastAsia="zh-CN"/>
        </w:rPr>
        <w:t>2</w:t>
      </w:r>
      <w:r>
        <w:rPr>
          <w:rFonts w:hint="eastAsia" w:ascii="Times New Roman" w:hAnsi="Times New Roman"/>
          <w:color w:val="auto"/>
          <w:szCs w:val="21"/>
          <w:highlight w:val="none"/>
          <w:lang w:val="en-US" w:eastAsia="zh-CN"/>
        </w:rPr>
        <w:t xml:space="preserve"> 固化剂宜采用SS-W-S进行配浆；</w:t>
      </w:r>
    </w:p>
    <w:p w14:paraId="64990D81">
      <w:pPr>
        <w:adjustRightInd w:val="0"/>
        <w:snapToGrid w:val="0"/>
        <w:spacing w:line="312" w:lineRule="exact"/>
        <w:ind w:firstLine="422" w:firstLineChars="200"/>
        <w:rPr>
          <w:rFonts w:hint="default" w:ascii="Times New Roman" w:hAnsi="Times New Roman"/>
          <w:szCs w:val="21"/>
          <w:highlight w:val="none"/>
        </w:rPr>
      </w:pPr>
      <w:r>
        <w:rPr>
          <w:rFonts w:hint="eastAsia" w:ascii="Times New Roman" w:hAnsi="Times New Roman" w:eastAsia="黑体"/>
          <w:b/>
          <w:bCs/>
          <w:kern w:val="0"/>
          <w:szCs w:val="21"/>
          <w:highlight w:val="none"/>
          <w:lang w:val="en-US" w:eastAsia="zh-CN"/>
        </w:rPr>
        <w:t>3</w:t>
      </w:r>
      <w:r>
        <w:rPr>
          <w:rFonts w:hint="eastAsia" w:ascii="Times New Roman" w:hAnsi="Times New Roman"/>
          <w:szCs w:val="21"/>
          <w:highlight w:val="none"/>
          <w:lang w:val="en-US" w:eastAsia="zh-CN"/>
        </w:rPr>
        <w:t xml:space="preserve"> </w:t>
      </w:r>
      <w:r>
        <w:rPr>
          <w:rFonts w:hint="eastAsia" w:ascii="Times New Roman" w:hAnsi="Times New Roman" w:eastAsiaTheme="minorEastAsia"/>
          <w:szCs w:val="21"/>
          <w:highlight w:val="none"/>
          <w:lang w:eastAsia="zh-CN"/>
        </w:rPr>
        <w:t>水泥土或固化土</w:t>
      </w:r>
      <w:r>
        <w:rPr>
          <w:rFonts w:hint="eastAsia" w:ascii="Times New Roman" w:hAnsi="Times New Roman" w:eastAsiaTheme="minorEastAsia"/>
          <w:szCs w:val="21"/>
          <w:highlight w:val="none"/>
          <w:lang w:val="en-US" w:eastAsia="zh-CN"/>
        </w:rPr>
        <w:t>的</w:t>
      </w:r>
      <w:r>
        <w:rPr>
          <w:rFonts w:hint="default" w:ascii="Times New Roman" w:hAnsi="Times New Roman" w:eastAsiaTheme="minorEastAsia"/>
          <w:szCs w:val="21"/>
          <w:highlight w:val="none"/>
        </w:rPr>
        <w:t>拌合土宜采用粉土</w:t>
      </w:r>
      <w:r>
        <w:rPr>
          <w:rFonts w:hint="eastAsia" w:ascii="Times New Roman" w:hAnsi="Times New Roman" w:eastAsiaTheme="minorEastAsia"/>
          <w:szCs w:val="21"/>
          <w:highlight w:val="none"/>
          <w:lang w:eastAsia="zh-CN"/>
        </w:rPr>
        <w:t>；</w:t>
      </w:r>
    </w:p>
    <w:p w14:paraId="2AB2679E">
      <w:pPr>
        <w:spacing w:line="312" w:lineRule="exact"/>
        <w:ind w:firstLine="422" w:firstLineChars="200"/>
        <w:rPr>
          <w:rFonts w:hint="default" w:ascii="Times New Roman" w:hAnsi="Times New Roman" w:eastAsiaTheme="minorEastAsia"/>
          <w:szCs w:val="21"/>
          <w:highlight w:val="none"/>
        </w:rPr>
      </w:pPr>
      <w:r>
        <w:rPr>
          <w:rFonts w:hint="eastAsia" w:ascii="Times New Roman" w:hAnsi="Times New Roman" w:eastAsia="黑体"/>
          <w:b/>
          <w:bCs/>
          <w:kern w:val="0"/>
          <w:szCs w:val="21"/>
          <w:highlight w:val="none"/>
          <w:lang w:val="en-US" w:eastAsia="zh-CN"/>
        </w:rPr>
        <w:t>4</w:t>
      </w:r>
      <w:r>
        <w:rPr>
          <w:rFonts w:hint="default" w:ascii="Times New Roman" w:hAnsi="Times New Roman" w:eastAsiaTheme="minorEastAsia"/>
          <w:szCs w:val="21"/>
          <w:highlight w:val="none"/>
        </w:rPr>
        <w:t xml:space="preserve"> 石子宜选用质地坚硬的卵石或碎石，最大粒径不大于20mm，含泥量不应大于2%</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砂应选用中砂，含泥量不应大于3%。其质量应符合现行行业标准《普通混凝土砂、石质量及检验方法标准》JGJ</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52的规定；</w:t>
      </w:r>
    </w:p>
    <w:p w14:paraId="36B1B7BF">
      <w:pPr>
        <w:spacing w:line="312" w:lineRule="exact"/>
        <w:ind w:firstLine="422" w:firstLineChars="200"/>
        <w:rPr>
          <w:rFonts w:hint="default" w:ascii="Times New Roman" w:hAnsi="Times New Roman" w:eastAsiaTheme="minorEastAsia"/>
          <w:szCs w:val="21"/>
          <w:highlight w:val="none"/>
        </w:rPr>
      </w:pPr>
      <w:r>
        <w:rPr>
          <w:rFonts w:hint="eastAsia" w:ascii="Times New Roman" w:hAnsi="Times New Roman" w:eastAsiaTheme="minorEastAsia"/>
          <w:b/>
          <w:bCs/>
          <w:szCs w:val="21"/>
          <w:highlight w:val="none"/>
          <w:lang w:val="en-US" w:eastAsia="zh-CN"/>
        </w:rPr>
        <w:t>4</w:t>
      </w:r>
      <w:r>
        <w:rPr>
          <w:rFonts w:hint="default" w:ascii="Times New Roman" w:hAnsi="Times New Roman" w:eastAsiaTheme="minorEastAsia"/>
          <w:szCs w:val="21"/>
          <w:highlight w:val="none"/>
        </w:rPr>
        <w:t xml:space="preserve"> 外加剂宜选用液体缓凝剂，质量应符合现行国家标准《混凝土外加剂应用技术规范》GB 50119的规定</w:t>
      </w:r>
      <w:r>
        <w:rPr>
          <w:rFonts w:hint="eastAsia" w:ascii="Times New Roman" w:hAnsi="Times New Roman" w:eastAsiaTheme="minorEastAsia"/>
          <w:szCs w:val="21"/>
          <w:highlight w:val="none"/>
          <w:lang w:eastAsia="zh-CN"/>
        </w:rPr>
        <w:t>；</w:t>
      </w:r>
    </w:p>
    <w:p w14:paraId="6BAC9755">
      <w:pPr>
        <w:spacing w:line="312" w:lineRule="exact"/>
        <w:ind w:firstLine="422" w:firstLineChars="20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5</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混凝土</w:t>
      </w:r>
      <w:r>
        <w:rPr>
          <w:rFonts w:hint="default" w:ascii="Times New Roman" w:hAnsi="Times New Roman" w:eastAsiaTheme="minorEastAsia"/>
          <w:szCs w:val="21"/>
          <w:highlight w:val="none"/>
        </w:rPr>
        <w:t>塌落度</w:t>
      </w:r>
      <w:r>
        <w:rPr>
          <w:rFonts w:hint="eastAsia" w:ascii="Times New Roman" w:hAnsi="Times New Roman" w:eastAsiaTheme="minorEastAsia"/>
          <w:szCs w:val="21"/>
          <w:highlight w:val="none"/>
          <w:lang w:val="en-US" w:eastAsia="zh-CN"/>
        </w:rPr>
        <w:t>宜为</w:t>
      </w:r>
      <w:r>
        <w:rPr>
          <w:rFonts w:hint="default" w:ascii="Times New Roman" w:hAnsi="Times New Roman" w:eastAsiaTheme="minorEastAsia"/>
          <w:szCs w:val="21"/>
          <w:highlight w:val="none"/>
        </w:rPr>
        <w:t>180mm～220mm</w:t>
      </w:r>
      <w:r>
        <w:rPr>
          <w:rFonts w:hint="eastAsia" w:ascii="Times New Roman" w:hAnsi="Times New Roman" w:eastAsiaTheme="minorEastAsia"/>
          <w:szCs w:val="21"/>
          <w:highlight w:val="none"/>
          <w:lang w:eastAsia="zh-CN"/>
        </w:rPr>
        <w:t>。</w:t>
      </w:r>
    </w:p>
    <w:p w14:paraId="306BAD22">
      <w:pPr>
        <w:adjustRightInd w:val="0"/>
        <w:snapToGrid w:val="0"/>
        <w:spacing w:line="312" w:lineRule="exact"/>
        <w:rPr>
          <w:rFonts w:hint="default" w:ascii="Times New Roman" w:hAnsi="Times New Roman"/>
          <w:szCs w:val="21"/>
          <w:highlight w:val="none"/>
          <w:lang w:val="en-US" w:eastAsia="zh-CN"/>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default" w:ascii="Times New Roman" w:hAnsi="Times New Roman" w:eastAsia="黑体"/>
          <w:b/>
          <w:bCs/>
          <w:kern w:val="0"/>
          <w:szCs w:val="21"/>
          <w:highlight w:val="none"/>
          <w:lang w:val="en-US" w:eastAsia="zh-CN"/>
        </w:rPr>
        <w:t>3</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w:t>
      </w:r>
      <w:r>
        <w:rPr>
          <w:rFonts w:hint="default" w:ascii="Times New Roman" w:hAnsi="Times New Roman"/>
          <w:szCs w:val="21"/>
          <w:highlight w:val="none"/>
          <w:lang w:eastAsia="zh-CN"/>
        </w:rPr>
        <w:t>接桩应符合下列规定</w:t>
      </w:r>
      <w:r>
        <w:rPr>
          <w:rFonts w:hint="eastAsia" w:ascii="Times New Roman" w:hAnsi="Times New Roman"/>
          <w:szCs w:val="21"/>
          <w:highlight w:val="none"/>
          <w:lang w:eastAsia="zh-CN"/>
        </w:rPr>
        <w:t>：</w:t>
      </w:r>
    </w:p>
    <w:p w14:paraId="1D24A697">
      <w:pPr>
        <w:snapToGrid/>
        <w:spacing w:line="240" w:lineRule="auto"/>
        <w:ind w:firstLine="422" w:firstLineChars="200"/>
        <w:jc w:val="left"/>
        <w:rPr>
          <w:rFonts w:hint="eastAsia" w:ascii="Times New Roman" w:hAnsi="Times New Roman" w:eastAsia="宋体"/>
          <w:szCs w:val="21"/>
          <w:highlight w:val="yellow"/>
          <w:lang w:eastAsia="zh-CN"/>
        </w:rPr>
      </w:pPr>
      <w:r>
        <w:rPr>
          <w:rFonts w:ascii="Times New Roman" w:hAnsi="Times New Roman" w:eastAsia="黑体"/>
          <w:b/>
          <w:bCs/>
          <w:kern w:val="0"/>
          <w:szCs w:val="21"/>
          <w:highlight w:val="none"/>
        </w:rPr>
        <w:t>1</w:t>
      </w:r>
      <w:r>
        <w:rPr>
          <w:rFonts w:ascii="Times New Roman" w:hAnsi="Times New Roman"/>
          <w:szCs w:val="21"/>
          <w:highlight w:val="none"/>
        </w:rPr>
        <w:t xml:space="preserve"> </w:t>
      </w:r>
      <w:r>
        <w:rPr>
          <w:rFonts w:hint="eastAsia" w:ascii="Times New Roman" w:hAnsi="Times New Roman"/>
          <w:szCs w:val="21"/>
          <w:highlight w:val="none"/>
          <w:lang w:val="en-US" w:eastAsia="zh-CN"/>
        </w:rPr>
        <w:t>预制桩</w:t>
      </w:r>
      <w:r>
        <w:rPr>
          <w:rFonts w:ascii="Times New Roman" w:hAnsi="Times New Roman"/>
          <w:szCs w:val="21"/>
          <w:highlight w:val="none"/>
        </w:rPr>
        <w:t>可采用焊接连接</w:t>
      </w:r>
      <w:r>
        <w:rPr>
          <w:rFonts w:hint="eastAsia" w:ascii="Times New Roman" w:hAnsi="Times New Roman"/>
          <w:szCs w:val="21"/>
          <w:highlight w:val="none"/>
          <w:lang w:eastAsia="zh-CN"/>
        </w:rPr>
        <w:t>、</w:t>
      </w:r>
      <w:r>
        <w:rPr>
          <w:rFonts w:ascii="Times New Roman" w:hAnsi="Times New Roman"/>
          <w:szCs w:val="21"/>
          <w:highlight w:val="none"/>
        </w:rPr>
        <w:t>机械连接</w:t>
      </w:r>
      <w:r>
        <w:rPr>
          <w:rFonts w:hint="eastAsia" w:ascii="Times New Roman" w:hAnsi="Times New Roman"/>
          <w:szCs w:val="21"/>
          <w:highlight w:val="none"/>
          <w:lang w:val="en-US" w:eastAsia="zh-CN"/>
        </w:rPr>
        <w:t>或焊接加机械连接</w:t>
      </w:r>
      <w:r>
        <w:rPr>
          <w:rFonts w:hint="default" w:ascii="Times New Roman" w:hAnsi="Times New Roman"/>
          <w:szCs w:val="21"/>
          <w:highlight w:val="none"/>
        </w:rPr>
        <w:t>，当在</w:t>
      </w:r>
      <w:r>
        <w:rPr>
          <w:rFonts w:hint="eastAsia" w:ascii="Times New Roman" w:hAnsi="Times New Roman"/>
          <w:szCs w:val="21"/>
          <w:highlight w:val="none"/>
          <w:lang w:val="en-US" w:eastAsia="zh-CN"/>
        </w:rPr>
        <w:t>中、</w:t>
      </w:r>
      <w:r>
        <w:rPr>
          <w:rFonts w:hint="default" w:ascii="Times New Roman" w:hAnsi="Times New Roman"/>
          <w:szCs w:val="21"/>
          <w:highlight w:val="none"/>
        </w:rPr>
        <w:t>强腐蚀环境采用机械接头时，</w:t>
      </w:r>
      <w:r>
        <w:rPr>
          <w:rFonts w:hint="eastAsia" w:ascii="Times New Roman" w:hAnsi="Times New Roman"/>
          <w:szCs w:val="21"/>
          <w:highlight w:val="none"/>
          <w:lang w:val="en-US" w:eastAsia="zh-CN"/>
        </w:rPr>
        <w:t>接桩处宜采用沥青、环氧树脂等密封材料密封处理</w:t>
      </w:r>
      <w:r>
        <w:rPr>
          <w:rFonts w:hint="eastAsia" w:ascii="Times New Roman" w:hAnsi="Times New Roman"/>
          <w:szCs w:val="21"/>
          <w:highlight w:val="none"/>
          <w:lang w:eastAsia="zh-CN"/>
        </w:rPr>
        <w:t>；</w:t>
      </w:r>
    </w:p>
    <w:p w14:paraId="215F01B2">
      <w:pPr>
        <w:snapToGrid/>
        <w:spacing w:line="240" w:lineRule="auto"/>
        <w:ind w:firstLine="422" w:firstLineChars="200"/>
        <w:jc w:val="left"/>
        <w:rPr>
          <w:rFonts w:hint="eastAsia" w:ascii="Times New Roman" w:hAnsi="Times New Roman" w:eastAsia="宋体"/>
          <w:szCs w:val="21"/>
          <w:highlight w:val="none"/>
          <w:lang w:eastAsia="zh-CN"/>
        </w:rPr>
      </w:pPr>
      <w:r>
        <w:rPr>
          <w:rFonts w:ascii="Times New Roman" w:hAnsi="Times New Roman" w:eastAsia="黑体"/>
          <w:b/>
          <w:bCs/>
          <w:kern w:val="0"/>
          <w:szCs w:val="21"/>
          <w:highlight w:val="none"/>
        </w:rPr>
        <w:t>2</w:t>
      </w:r>
      <w:r>
        <w:rPr>
          <w:rFonts w:ascii="Times New Roman" w:hAnsi="Times New Roman"/>
          <w:szCs w:val="21"/>
          <w:highlight w:val="none"/>
        </w:rPr>
        <w:t xml:space="preserve"> </w:t>
      </w:r>
      <w:r>
        <w:rPr>
          <w:rFonts w:hint="default" w:ascii="Times New Roman" w:hAnsi="Times New Roman"/>
          <w:szCs w:val="21"/>
          <w:highlight w:val="none"/>
        </w:rPr>
        <w:t>用作抗拔的预制桩接头连接强度应满足与桩身等强度</w:t>
      </w:r>
      <w:r>
        <w:rPr>
          <w:rFonts w:hint="eastAsia" w:ascii="Times New Roman" w:hAnsi="Times New Roman"/>
          <w:szCs w:val="21"/>
          <w:highlight w:val="none"/>
          <w:lang w:val="en-US" w:eastAsia="zh-CN"/>
        </w:rPr>
        <w:t>的</w:t>
      </w:r>
      <w:r>
        <w:rPr>
          <w:rFonts w:hint="default" w:ascii="Times New Roman" w:hAnsi="Times New Roman"/>
          <w:szCs w:val="21"/>
          <w:highlight w:val="none"/>
        </w:rPr>
        <w:t>要求，接头应保证桩内纵向钢筋与端板等效传力</w:t>
      </w:r>
      <w:r>
        <w:rPr>
          <w:rFonts w:hint="eastAsia" w:ascii="Times New Roman" w:hAnsi="Times New Roman"/>
          <w:szCs w:val="21"/>
          <w:highlight w:val="none"/>
          <w:lang w:eastAsia="zh-CN"/>
        </w:rPr>
        <w:t>；</w:t>
      </w:r>
    </w:p>
    <w:p w14:paraId="6638C530">
      <w:pPr>
        <w:snapToGrid/>
        <w:spacing w:line="240" w:lineRule="auto"/>
        <w:ind w:firstLine="422" w:firstLineChars="200"/>
        <w:jc w:val="left"/>
        <w:rPr>
          <w:rFonts w:hint="default" w:ascii="Times New Roman" w:hAnsi="Times New Roman"/>
          <w:szCs w:val="21"/>
          <w:highlight w:val="none"/>
          <w:lang w:val="en-US" w:eastAsia="zh-CN"/>
        </w:rPr>
      </w:pPr>
      <w:r>
        <w:rPr>
          <w:rFonts w:hint="eastAsia" w:ascii="Times New Roman" w:hAnsi="Times New Roman" w:eastAsia="黑体"/>
          <w:b/>
          <w:bCs/>
          <w:kern w:val="0"/>
          <w:szCs w:val="21"/>
          <w:highlight w:val="none"/>
          <w:lang w:val="en-US" w:eastAsia="zh-CN"/>
        </w:rPr>
        <w:t>3</w:t>
      </w:r>
      <w:r>
        <w:rPr>
          <w:rFonts w:hint="eastAsia" w:ascii="Times New Roman" w:hAnsi="Times New Roman"/>
          <w:szCs w:val="21"/>
          <w:highlight w:val="none"/>
          <w:lang w:val="en-US" w:eastAsia="zh-CN"/>
        </w:rPr>
        <w:t xml:space="preserve"> 预制桩接头数量不宜大于4个。</w:t>
      </w:r>
    </w:p>
    <w:p w14:paraId="2443941F">
      <w:pPr>
        <w:snapToGrid/>
        <w:spacing w:line="312" w:lineRule="exact"/>
        <w:rPr>
          <w:rFonts w:ascii="Times New Roman" w:hAnsi="Times New Roman" w:eastAsiaTheme="minorEastAsia"/>
          <w:spacing w:val="0"/>
          <w:szCs w:val="21"/>
          <w:highlight w:val="none"/>
        </w:rPr>
      </w:pPr>
      <w:r>
        <w:rPr>
          <w:rFonts w:hint="eastAsia" w:ascii="Times New Roman" w:hAnsi="Times New Roman" w:eastAsia="黑体"/>
          <w:b/>
          <w:bCs/>
          <w:kern w:val="0"/>
          <w:szCs w:val="21"/>
          <w:highlight w:val="none"/>
          <w:lang w:val="en-US" w:eastAsia="zh-CN"/>
        </w:rPr>
        <w:t>4.</w:t>
      </w:r>
      <w:bookmarkStart w:id="73" w:name="_Toc130824580"/>
      <w:r>
        <w:rPr>
          <w:rFonts w:hint="eastAsia" w:ascii="Times New Roman" w:hAnsi="Times New Roman" w:eastAsia="黑体"/>
          <w:b/>
          <w:bCs/>
          <w:kern w:val="0"/>
          <w:szCs w:val="21"/>
          <w:highlight w:val="none"/>
          <w:lang w:eastAsia="zh-CN"/>
        </w:rPr>
        <w:t>4</w:t>
      </w:r>
      <w:r>
        <w:rPr>
          <w:rFonts w:hint="eastAsia" w:ascii="Times New Roman" w:hAnsi="Times New Roman" w:eastAsia="黑体"/>
          <w:b/>
          <w:bCs/>
          <w:kern w:val="0"/>
          <w:szCs w:val="21"/>
          <w:highlight w:val="none"/>
          <w:lang w:val="en-US" w:eastAsia="zh-CN"/>
        </w:rPr>
        <w:t>.4</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w:t>
      </w:r>
      <w:r>
        <w:rPr>
          <w:rFonts w:hint="eastAsia" w:ascii="Times New Roman" w:hAnsi="Times New Roman"/>
          <w:szCs w:val="21"/>
          <w:highlight w:val="none"/>
          <w:lang w:val="en-US" w:eastAsia="zh-CN"/>
        </w:rPr>
        <w:t>芯</w:t>
      </w:r>
      <w:r>
        <w:rPr>
          <w:rFonts w:ascii="Times New Roman" w:hAnsi="Times New Roman" w:eastAsiaTheme="minorEastAsia"/>
          <w:spacing w:val="0"/>
          <w:szCs w:val="21"/>
          <w:highlight w:val="none"/>
        </w:rPr>
        <w:t>桩顶部</w:t>
      </w:r>
      <w:r>
        <w:rPr>
          <w:rFonts w:hint="default" w:ascii="Times New Roman" w:hAnsi="Times New Roman" w:eastAsiaTheme="minorEastAsia"/>
          <w:spacing w:val="0"/>
          <w:szCs w:val="21"/>
          <w:highlight w:val="none"/>
        </w:rPr>
        <w:t>浇筑</w:t>
      </w:r>
      <w:r>
        <w:rPr>
          <w:rFonts w:ascii="Times New Roman" w:hAnsi="Times New Roman" w:eastAsiaTheme="minorEastAsia"/>
          <w:spacing w:val="0"/>
          <w:szCs w:val="21"/>
          <w:highlight w:val="none"/>
        </w:rPr>
        <w:t>填芯混凝土及其配筋应符合下列</w:t>
      </w:r>
      <w:r>
        <w:rPr>
          <w:rFonts w:hint="default" w:ascii="Times New Roman" w:hAnsi="Times New Roman" w:eastAsiaTheme="minorEastAsia"/>
          <w:spacing w:val="0"/>
          <w:szCs w:val="21"/>
          <w:highlight w:val="none"/>
        </w:rPr>
        <w:t>规定</w:t>
      </w:r>
      <w:r>
        <w:rPr>
          <w:rFonts w:ascii="Times New Roman" w:hAnsi="Times New Roman" w:eastAsiaTheme="minorEastAsia"/>
          <w:spacing w:val="0"/>
          <w:szCs w:val="21"/>
          <w:highlight w:val="none"/>
        </w:rPr>
        <w:t>：</w:t>
      </w:r>
    </w:p>
    <w:p w14:paraId="568A9D8B">
      <w:pPr>
        <w:snapToGrid/>
        <w:spacing w:line="240" w:lineRule="auto"/>
        <w:ind w:firstLine="422" w:firstLineChars="200"/>
        <w:rPr>
          <w:rFonts w:ascii="Times New Roman" w:hAnsi="Times New Roman"/>
          <w:spacing w:val="0"/>
          <w:szCs w:val="21"/>
          <w:highlight w:val="none"/>
        </w:rPr>
      </w:pPr>
      <w:r>
        <w:rPr>
          <w:rFonts w:ascii="Times New Roman" w:hAnsi="Times New Roman" w:eastAsia="黑体"/>
          <w:b/>
          <w:bCs/>
          <w:spacing w:val="0"/>
          <w:kern w:val="0"/>
          <w:szCs w:val="21"/>
          <w:highlight w:val="none"/>
        </w:rPr>
        <w:t>1</w:t>
      </w:r>
      <w:r>
        <w:rPr>
          <w:rFonts w:ascii="Times New Roman" w:hAnsi="Times New Roman"/>
          <w:spacing w:val="0"/>
          <w:szCs w:val="21"/>
          <w:highlight w:val="none"/>
        </w:rPr>
        <w:t xml:space="preserve"> 浇筑填芯混凝土前，应将</w:t>
      </w:r>
      <w:r>
        <w:rPr>
          <w:rFonts w:hint="default" w:ascii="Times New Roman" w:hAnsi="Times New Roman"/>
          <w:spacing w:val="0"/>
          <w:szCs w:val="21"/>
          <w:highlight w:val="none"/>
        </w:rPr>
        <w:t>预制空心</w:t>
      </w:r>
      <w:r>
        <w:rPr>
          <w:rFonts w:ascii="Times New Roman" w:hAnsi="Times New Roman"/>
          <w:spacing w:val="0"/>
          <w:szCs w:val="21"/>
          <w:highlight w:val="none"/>
        </w:rPr>
        <w:t>桩内壁清除干净，并在内壁涂刷水泥净浆。桩顶填芯混凝土应灌注饱满，振捣密实，下封层不应漏浆。填芯混凝土应采用强度等级高于承台或基础梁一级</w:t>
      </w:r>
      <w:r>
        <w:rPr>
          <w:rFonts w:hint="default" w:ascii="Times New Roman" w:hAnsi="Times New Roman"/>
          <w:spacing w:val="0"/>
          <w:szCs w:val="21"/>
          <w:highlight w:val="none"/>
        </w:rPr>
        <w:t>，</w:t>
      </w:r>
      <w:r>
        <w:rPr>
          <w:rFonts w:ascii="Times New Roman" w:hAnsi="Times New Roman"/>
          <w:spacing w:val="0"/>
          <w:szCs w:val="21"/>
          <w:highlight w:val="none"/>
        </w:rPr>
        <w:t>且不低于C30的微膨胀混凝土</w:t>
      </w:r>
      <w:r>
        <w:rPr>
          <w:rFonts w:hint="eastAsia" w:ascii="Times New Roman" w:hAnsi="Times New Roman"/>
          <w:spacing w:val="0"/>
          <w:szCs w:val="21"/>
          <w:highlight w:val="none"/>
          <w:lang w:val="en-US" w:eastAsia="zh-CN"/>
        </w:rPr>
        <w:t>或无收缩混凝土</w:t>
      </w:r>
      <w:r>
        <w:rPr>
          <w:rFonts w:ascii="Times New Roman" w:hAnsi="Times New Roman"/>
          <w:spacing w:val="0"/>
          <w:szCs w:val="21"/>
          <w:highlight w:val="none"/>
        </w:rPr>
        <w:t>；</w:t>
      </w:r>
    </w:p>
    <w:p w14:paraId="55C4E5D4">
      <w:pPr>
        <w:snapToGrid/>
        <w:spacing w:line="240" w:lineRule="auto"/>
        <w:ind w:firstLine="422" w:firstLineChars="200"/>
        <w:rPr>
          <w:rFonts w:ascii="Times New Roman" w:hAnsi="Times New Roman"/>
          <w:szCs w:val="21"/>
          <w:highlight w:val="none"/>
        </w:rPr>
      </w:pPr>
      <w:r>
        <w:rPr>
          <w:rFonts w:ascii="Times New Roman" w:hAnsi="Times New Roman" w:eastAsia="黑体"/>
          <w:b/>
          <w:bCs/>
          <w:spacing w:val="0"/>
          <w:kern w:val="0"/>
          <w:szCs w:val="21"/>
          <w:highlight w:val="none"/>
        </w:rPr>
        <w:t>2</w:t>
      </w:r>
      <w:r>
        <w:rPr>
          <w:rFonts w:ascii="Times New Roman" w:hAnsi="Times New Roman"/>
          <w:spacing w:val="0"/>
          <w:szCs w:val="21"/>
          <w:highlight w:val="none"/>
        </w:rPr>
        <w:t xml:space="preserve"> 承压桩填芯混凝土灌注深度不应小于3倍预制空心桩</w:t>
      </w:r>
      <w:r>
        <w:rPr>
          <w:rFonts w:hint="eastAsia" w:ascii="Times New Roman" w:hAnsi="Times New Roman"/>
          <w:spacing w:val="0"/>
          <w:szCs w:val="21"/>
          <w:highlight w:val="none"/>
          <w:lang w:val="en-US" w:eastAsia="zh-CN"/>
        </w:rPr>
        <w:t>外</w:t>
      </w:r>
      <w:r>
        <w:rPr>
          <w:rFonts w:ascii="Times New Roman" w:hAnsi="Times New Roman"/>
          <w:spacing w:val="0"/>
          <w:szCs w:val="21"/>
          <w:highlight w:val="none"/>
        </w:rPr>
        <w:t>径或边长，且不应小于1.5m；当用于抗震设防烈度8度地区</w:t>
      </w:r>
      <w:r>
        <w:rPr>
          <w:rFonts w:hint="eastAsia" w:ascii="Times New Roman" w:hAnsi="Times New Roman"/>
          <w:spacing w:val="0"/>
          <w:szCs w:val="21"/>
          <w:highlight w:val="none"/>
          <w:lang w:val="en-US" w:eastAsia="zh-CN"/>
        </w:rPr>
        <w:t>及以上</w:t>
      </w:r>
      <w:r>
        <w:rPr>
          <w:rFonts w:ascii="Times New Roman" w:hAnsi="Times New Roman"/>
          <w:spacing w:val="0"/>
          <w:szCs w:val="21"/>
          <w:highlight w:val="none"/>
        </w:rPr>
        <w:t>时，填芯长度不应小于预制空心桩</w:t>
      </w:r>
      <w:r>
        <w:rPr>
          <w:rFonts w:hint="eastAsia" w:ascii="Times New Roman" w:hAnsi="Times New Roman"/>
          <w:spacing w:val="0"/>
          <w:szCs w:val="21"/>
          <w:highlight w:val="none"/>
          <w:lang w:val="en-US" w:eastAsia="zh-CN"/>
        </w:rPr>
        <w:t>外</w:t>
      </w:r>
      <w:r>
        <w:rPr>
          <w:rFonts w:ascii="Times New Roman" w:hAnsi="Times New Roman"/>
          <w:spacing w:val="0"/>
          <w:szCs w:val="21"/>
          <w:highlight w:val="none"/>
        </w:rPr>
        <w:t>径或边长5倍，且不应小于2.0m。承压桩填芯混凝土的连接钢筋配筋率宜按</w:t>
      </w:r>
      <w:r>
        <w:rPr>
          <w:rFonts w:hint="eastAsia" w:ascii="Times New Roman" w:hAnsi="Times New Roman"/>
          <w:spacing w:val="0"/>
          <w:szCs w:val="21"/>
          <w:highlight w:val="none"/>
          <w:lang w:val="en-US" w:eastAsia="zh-CN"/>
        </w:rPr>
        <w:t>内芯</w:t>
      </w:r>
      <w:r>
        <w:rPr>
          <w:rFonts w:ascii="Times New Roman" w:hAnsi="Times New Roman"/>
          <w:spacing w:val="0"/>
          <w:szCs w:val="21"/>
          <w:highlight w:val="none"/>
        </w:rPr>
        <w:t>全截面计算，不应小于0.6%。当桩顶低于承台需接桩时，连接钢筋的配筋率应按接桩截面计算，并不应小于0.6%，且接桩的最外一侧构造钢筋配筋率不应小于接桩截面的0.15%，钢筋间距不应大于200mm</w:t>
      </w:r>
      <w:r>
        <w:rPr>
          <w:rFonts w:ascii="Times New Roman" w:hAnsi="Times New Roman"/>
          <w:szCs w:val="21"/>
          <w:highlight w:val="none"/>
        </w:rPr>
        <w:t>；</w:t>
      </w:r>
    </w:p>
    <w:p w14:paraId="353701D7">
      <w:pPr>
        <w:snapToGrid/>
        <w:spacing w:line="240" w:lineRule="auto"/>
        <w:ind w:firstLine="422" w:firstLineChars="200"/>
        <w:rPr>
          <w:rFonts w:hint="eastAsia" w:ascii="Times New Roman" w:hAnsi="Times New Roman" w:eastAsia="宋体"/>
          <w:bCs w:val="0"/>
          <w:szCs w:val="21"/>
          <w:highlight w:val="none"/>
          <w:lang w:eastAsia="zh-CN"/>
        </w:rPr>
      </w:pPr>
      <w:r>
        <w:rPr>
          <w:rFonts w:ascii="Times New Roman" w:hAnsi="Times New Roman" w:eastAsia="黑体"/>
          <w:b/>
          <w:bCs/>
          <w:kern w:val="0"/>
          <w:szCs w:val="21"/>
          <w:highlight w:val="none"/>
        </w:rPr>
        <w:t>3</w:t>
      </w:r>
      <w:r>
        <w:rPr>
          <w:rFonts w:ascii="Times New Roman" w:hAnsi="Times New Roman"/>
          <w:b w:val="0"/>
          <w:bCs w:val="0"/>
          <w:szCs w:val="21"/>
          <w:highlight w:val="none"/>
        </w:rPr>
        <w:t xml:space="preserve"> </w:t>
      </w:r>
      <w:r>
        <w:rPr>
          <w:rFonts w:hint="default" w:ascii="Times New Roman" w:hAnsi="Times New Roman"/>
          <w:bCs w:val="0"/>
          <w:szCs w:val="21"/>
          <w:highlight w:val="none"/>
        </w:rPr>
        <w:t>空心抗拔桩桩顶仅采用填芯混凝土及其配筋与承台连接时，填芯混凝土的灌注深度应通过计算确定，且</w:t>
      </w:r>
      <w:r>
        <w:rPr>
          <w:rFonts w:hint="default" w:ascii="Times New Roman" w:hAnsi="Times New Roman"/>
          <w:szCs w:val="21"/>
          <w:highlight w:val="none"/>
        </w:rPr>
        <w:t>不应小于</w:t>
      </w:r>
      <w:r>
        <w:rPr>
          <w:rFonts w:ascii="Times New Roman" w:hAnsi="Times New Roman"/>
          <w:szCs w:val="21"/>
          <w:highlight w:val="none"/>
        </w:rPr>
        <w:t>5</w:t>
      </w:r>
      <w:r>
        <w:rPr>
          <w:rFonts w:hint="default" w:ascii="Times New Roman" w:hAnsi="Times New Roman"/>
          <w:szCs w:val="21"/>
          <w:highlight w:val="none"/>
        </w:rPr>
        <w:t>倍空心抗拔桩</w:t>
      </w:r>
      <w:r>
        <w:rPr>
          <w:rFonts w:hint="eastAsia" w:ascii="Times New Roman" w:hAnsi="Times New Roman"/>
          <w:szCs w:val="21"/>
          <w:highlight w:val="none"/>
          <w:lang w:val="en-US" w:eastAsia="zh-CN"/>
        </w:rPr>
        <w:t>外</w:t>
      </w:r>
      <w:r>
        <w:rPr>
          <w:rFonts w:hint="default" w:ascii="Times New Roman" w:hAnsi="Times New Roman"/>
          <w:szCs w:val="21"/>
          <w:highlight w:val="none"/>
        </w:rPr>
        <w:t>径或边长</w:t>
      </w:r>
      <w:r>
        <w:rPr>
          <w:rFonts w:hint="eastAsia" w:ascii="Times New Roman" w:hAnsi="Times New Roman"/>
          <w:szCs w:val="21"/>
          <w:highlight w:val="none"/>
          <w:lang w:eastAsia="zh-CN"/>
        </w:rPr>
        <w:t>，</w:t>
      </w:r>
      <w:r>
        <w:rPr>
          <w:rFonts w:hint="eastAsia" w:ascii="Times New Roman" w:hAnsi="Times New Roman"/>
          <w:szCs w:val="21"/>
          <w:highlight w:val="none"/>
          <w:lang w:val="en-US" w:eastAsia="zh-CN"/>
        </w:rPr>
        <w:t>并</w:t>
      </w:r>
      <w:r>
        <w:rPr>
          <w:rFonts w:hint="default" w:ascii="Times New Roman" w:hAnsi="Times New Roman"/>
          <w:szCs w:val="21"/>
          <w:highlight w:val="none"/>
        </w:rPr>
        <w:t>不应小于</w:t>
      </w:r>
      <w:r>
        <w:rPr>
          <w:rFonts w:ascii="Times New Roman" w:hAnsi="Times New Roman"/>
          <w:szCs w:val="21"/>
          <w:highlight w:val="none"/>
        </w:rPr>
        <w:t>3.0m</w:t>
      </w:r>
      <w:r>
        <w:rPr>
          <w:rFonts w:hint="default" w:ascii="Times New Roman" w:hAnsi="Times New Roman"/>
          <w:szCs w:val="21"/>
          <w:highlight w:val="none"/>
        </w:rPr>
        <w:t>；当用于抗震设防烈度</w:t>
      </w:r>
      <w:r>
        <w:rPr>
          <w:rFonts w:ascii="Times New Roman" w:hAnsi="Times New Roman"/>
          <w:szCs w:val="21"/>
          <w:highlight w:val="none"/>
        </w:rPr>
        <w:t>8</w:t>
      </w:r>
      <w:r>
        <w:rPr>
          <w:rFonts w:hint="default" w:ascii="Times New Roman" w:hAnsi="Times New Roman"/>
          <w:szCs w:val="21"/>
          <w:highlight w:val="none"/>
        </w:rPr>
        <w:t>度地区时，填芯长度不应小于</w:t>
      </w:r>
      <w:r>
        <w:rPr>
          <w:rFonts w:ascii="Times New Roman" w:hAnsi="Times New Roman"/>
          <w:szCs w:val="21"/>
          <w:highlight w:val="none"/>
        </w:rPr>
        <w:t>8</w:t>
      </w:r>
      <w:r>
        <w:rPr>
          <w:rFonts w:hint="default" w:ascii="Times New Roman" w:hAnsi="Times New Roman"/>
          <w:szCs w:val="21"/>
          <w:highlight w:val="none"/>
        </w:rPr>
        <w:t>倍空心抗拔桩</w:t>
      </w:r>
      <w:r>
        <w:rPr>
          <w:rFonts w:hint="eastAsia" w:ascii="Times New Roman" w:hAnsi="Times New Roman"/>
          <w:szCs w:val="21"/>
          <w:highlight w:val="none"/>
          <w:lang w:val="en-US" w:eastAsia="zh-CN"/>
        </w:rPr>
        <w:t>外</w:t>
      </w:r>
      <w:r>
        <w:rPr>
          <w:rFonts w:hint="default" w:ascii="Times New Roman" w:hAnsi="Times New Roman"/>
          <w:szCs w:val="21"/>
          <w:highlight w:val="none"/>
        </w:rPr>
        <w:t>径或边长</w:t>
      </w:r>
      <w:r>
        <w:rPr>
          <w:rFonts w:hint="eastAsia" w:ascii="Times New Roman" w:hAnsi="Times New Roman"/>
          <w:szCs w:val="21"/>
          <w:highlight w:val="none"/>
          <w:lang w:eastAsia="zh-CN"/>
        </w:rPr>
        <w:t>，</w:t>
      </w:r>
      <w:r>
        <w:rPr>
          <w:rFonts w:hint="default" w:ascii="Times New Roman" w:hAnsi="Times New Roman"/>
          <w:szCs w:val="21"/>
          <w:highlight w:val="none"/>
        </w:rPr>
        <w:t>且不应小于</w:t>
      </w:r>
      <w:r>
        <w:rPr>
          <w:rFonts w:ascii="Times New Roman" w:hAnsi="Times New Roman"/>
          <w:szCs w:val="21"/>
          <w:highlight w:val="none"/>
        </w:rPr>
        <w:t>3.5m</w:t>
      </w:r>
      <w:r>
        <w:rPr>
          <w:rFonts w:hint="eastAsia" w:ascii="Times New Roman" w:hAnsi="Times New Roman"/>
          <w:szCs w:val="21"/>
          <w:highlight w:val="none"/>
          <w:lang w:eastAsia="zh-CN"/>
        </w:rPr>
        <w:t>。</w:t>
      </w:r>
    </w:p>
    <w:p w14:paraId="38683FAF">
      <w:pPr>
        <w:spacing w:line="312" w:lineRule="exact"/>
        <w:rPr>
          <w:rFonts w:ascii="Times New Roman" w:hAnsi="Times New Roman" w:eastAsiaTheme="minorEastAsia"/>
          <w:spacing w:val="0"/>
          <w:sz w:val="21"/>
          <w:szCs w:val="21"/>
          <w:highlight w:val="none"/>
        </w:rPr>
      </w:pPr>
      <w:r>
        <w:rPr>
          <w:rFonts w:hint="eastAsia" w:ascii="Times New Roman" w:hAnsi="Times New Roman" w:eastAsia="黑体"/>
          <w:b/>
          <w:bCs/>
          <w:spacing w:val="0"/>
          <w:kern w:val="0"/>
          <w:sz w:val="21"/>
          <w:szCs w:val="21"/>
          <w:highlight w:val="none"/>
          <w:lang w:eastAsia="zh-CN"/>
        </w:rPr>
        <w:t>4</w:t>
      </w:r>
      <w:r>
        <w:rPr>
          <w:rFonts w:hint="eastAsia" w:ascii="Times New Roman" w:hAnsi="Times New Roman" w:eastAsia="黑体"/>
          <w:b/>
          <w:bCs/>
          <w:spacing w:val="0"/>
          <w:kern w:val="0"/>
          <w:sz w:val="21"/>
          <w:szCs w:val="21"/>
          <w:highlight w:val="none"/>
          <w:lang w:val="en-US" w:eastAsia="zh-CN"/>
        </w:rPr>
        <w:t>.4.5</w:t>
      </w:r>
      <w:r>
        <w:rPr>
          <w:rFonts w:ascii="Times New Roman" w:hAnsi="Times New Roman" w:eastAsiaTheme="minorEastAsia"/>
          <w:spacing w:val="0"/>
          <w:sz w:val="21"/>
          <w:szCs w:val="21"/>
          <w:highlight w:val="none"/>
        </w:rPr>
        <w:t xml:space="preserve"> </w:t>
      </w:r>
      <w:r>
        <w:rPr>
          <w:rFonts w:hint="eastAsia" w:ascii="Times New Roman" w:hAnsi="Times New Roman" w:eastAsiaTheme="minorEastAsia"/>
          <w:szCs w:val="21"/>
          <w:highlight w:val="none"/>
          <w:lang w:val="en-US" w:eastAsia="zh-CN"/>
        </w:rPr>
        <w:t>预制桩植桩</w:t>
      </w:r>
      <w:r>
        <w:rPr>
          <w:rFonts w:hint="eastAsia" w:ascii="Times New Roman" w:hAnsi="Times New Roman"/>
          <w:szCs w:val="21"/>
          <w:highlight w:val="none"/>
          <w:lang w:val="en-US" w:eastAsia="zh-CN"/>
        </w:rPr>
        <w:t>芯</w:t>
      </w:r>
      <w:r>
        <w:rPr>
          <w:rFonts w:ascii="Times New Roman" w:hAnsi="Times New Roman" w:eastAsiaTheme="minorEastAsia"/>
          <w:spacing w:val="0"/>
          <w:szCs w:val="21"/>
          <w:highlight w:val="none"/>
        </w:rPr>
        <w:t>桩</w:t>
      </w:r>
      <w:r>
        <w:rPr>
          <w:rFonts w:hint="default" w:ascii="Times New Roman" w:hAnsi="Times New Roman" w:eastAsiaTheme="minorEastAsia"/>
          <w:sz w:val="21"/>
          <w:szCs w:val="21"/>
          <w:highlight w:val="none"/>
        </w:rPr>
        <w:t>顶与承台的连接构造应符合下列规定：</w:t>
      </w:r>
    </w:p>
    <w:p w14:paraId="50248AEB">
      <w:pPr>
        <w:snapToGrid/>
        <w:spacing w:line="240" w:lineRule="auto"/>
        <w:ind w:firstLine="422" w:firstLineChars="200"/>
        <w:rPr>
          <w:rFonts w:ascii="Times New Roman" w:hAnsi="Times New Roman"/>
          <w:szCs w:val="21"/>
          <w:highlight w:val="none"/>
        </w:rPr>
      </w:pPr>
      <w:r>
        <w:rPr>
          <w:rFonts w:ascii="Times New Roman" w:hAnsi="Times New Roman" w:eastAsia="黑体"/>
          <w:b/>
          <w:bCs/>
          <w:kern w:val="0"/>
          <w:szCs w:val="21"/>
          <w:highlight w:val="none"/>
        </w:rPr>
        <w:t>1</w:t>
      </w:r>
      <w:r>
        <w:rPr>
          <w:rFonts w:hint="eastAsia" w:ascii="Times New Roman" w:hAnsi="Times New Roman" w:eastAsia="黑体"/>
          <w:b/>
          <w:bCs/>
          <w:kern w:val="0"/>
          <w:szCs w:val="21"/>
          <w:highlight w:val="none"/>
          <w:lang w:val="en-US" w:eastAsia="zh-CN"/>
        </w:rPr>
        <w:t xml:space="preserve"> </w:t>
      </w:r>
      <w:r>
        <w:rPr>
          <w:rFonts w:ascii="Times New Roman" w:hAnsi="Times New Roman"/>
          <w:szCs w:val="21"/>
          <w:highlight w:val="none"/>
        </w:rPr>
        <w:t>桩顶嵌入承台内的长度宜为50mm~100mm</w:t>
      </w:r>
      <w:r>
        <w:rPr>
          <w:rFonts w:hint="eastAsia" w:ascii="Times New Roman" w:hAnsi="Times New Roman"/>
          <w:szCs w:val="21"/>
          <w:highlight w:val="none"/>
          <w:lang w:eastAsia="zh-CN"/>
        </w:rPr>
        <w:t>，</w:t>
      </w:r>
      <w:r>
        <w:rPr>
          <w:rFonts w:ascii="Times New Roman" w:hAnsi="Times New Roman"/>
          <w:szCs w:val="21"/>
          <w:highlight w:val="none"/>
        </w:rPr>
        <w:t>直径或边长小于</w:t>
      </w:r>
      <w:r>
        <w:rPr>
          <w:rFonts w:hint="eastAsia" w:ascii="Times New Roman" w:hAnsi="Times New Roman"/>
          <w:szCs w:val="21"/>
          <w:highlight w:val="none"/>
          <w:lang w:val="en-US" w:eastAsia="zh-CN"/>
        </w:rPr>
        <w:t>等于</w:t>
      </w:r>
      <w:r>
        <w:rPr>
          <w:rFonts w:ascii="Times New Roman" w:hAnsi="Times New Roman"/>
          <w:szCs w:val="21"/>
          <w:highlight w:val="none"/>
        </w:rPr>
        <w:t>400mm时，桩顶嵌入长度宜取50mm，直径大于等于800mm或边长大于等于600mm以上时，桩顶嵌入长度宜取100mm</w:t>
      </w:r>
      <w:r>
        <w:rPr>
          <w:rFonts w:hint="eastAsia" w:ascii="Times New Roman" w:hAnsi="Times New Roman"/>
          <w:szCs w:val="21"/>
          <w:highlight w:val="none"/>
          <w:lang w:eastAsia="zh-CN"/>
        </w:rPr>
        <w:t>，</w:t>
      </w:r>
      <w:r>
        <w:rPr>
          <w:rFonts w:ascii="Times New Roman" w:hAnsi="Times New Roman"/>
          <w:szCs w:val="21"/>
          <w:highlight w:val="none"/>
        </w:rPr>
        <w:t>直径大于</w:t>
      </w:r>
      <w:r>
        <w:rPr>
          <w:rFonts w:hint="eastAsia" w:ascii="Times New Roman" w:hAnsi="Times New Roman"/>
          <w:szCs w:val="21"/>
          <w:highlight w:val="none"/>
          <w:lang w:val="en-US" w:eastAsia="zh-CN"/>
        </w:rPr>
        <w:t>4</w:t>
      </w:r>
      <w:r>
        <w:rPr>
          <w:rFonts w:ascii="Times New Roman" w:hAnsi="Times New Roman"/>
          <w:szCs w:val="21"/>
          <w:highlight w:val="none"/>
        </w:rPr>
        <w:t>00mm</w:t>
      </w:r>
      <w:r>
        <w:rPr>
          <w:rFonts w:hint="eastAsia" w:ascii="Times New Roman" w:hAnsi="Times New Roman"/>
          <w:szCs w:val="21"/>
          <w:highlight w:val="none"/>
          <w:lang w:val="en-US" w:eastAsia="zh-CN"/>
        </w:rPr>
        <w:t>且小于800mm</w:t>
      </w:r>
      <w:r>
        <w:rPr>
          <w:rFonts w:ascii="Times New Roman" w:hAnsi="Times New Roman"/>
          <w:szCs w:val="21"/>
          <w:highlight w:val="none"/>
        </w:rPr>
        <w:t>或边长大于</w:t>
      </w:r>
      <w:r>
        <w:rPr>
          <w:rFonts w:hint="eastAsia" w:ascii="Times New Roman" w:hAnsi="Times New Roman"/>
          <w:szCs w:val="21"/>
          <w:highlight w:val="none"/>
          <w:lang w:val="en-US" w:eastAsia="zh-CN"/>
        </w:rPr>
        <w:t>400且小于</w:t>
      </w:r>
      <w:r>
        <w:rPr>
          <w:rFonts w:ascii="Times New Roman" w:hAnsi="Times New Roman"/>
          <w:szCs w:val="21"/>
          <w:highlight w:val="none"/>
        </w:rPr>
        <w:t>600mm时，</w:t>
      </w:r>
      <w:r>
        <w:rPr>
          <w:rFonts w:hint="eastAsia" w:ascii="Times New Roman" w:hAnsi="Times New Roman"/>
          <w:szCs w:val="21"/>
          <w:highlight w:val="none"/>
          <w:lang w:val="en-US" w:eastAsia="zh-CN"/>
        </w:rPr>
        <w:t>可取插值</w:t>
      </w:r>
      <w:r>
        <w:rPr>
          <w:rFonts w:ascii="Times New Roman" w:hAnsi="Times New Roman"/>
          <w:szCs w:val="21"/>
          <w:highlight w:val="none"/>
        </w:rPr>
        <w:t>；</w:t>
      </w:r>
    </w:p>
    <w:p w14:paraId="6BB458CD">
      <w:pPr>
        <w:snapToGrid/>
        <w:spacing w:line="240" w:lineRule="auto"/>
        <w:ind w:firstLine="422" w:firstLineChars="200"/>
        <w:rPr>
          <w:rFonts w:ascii="Times New Roman" w:hAnsi="Times New Roman"/>
          <w:szCs w:val="21"/>
          <w:highlight w:val="none"/>
        </w:rPr>
      </w:pPr>
      <w:r>
        <w:rPr>
          <w:rFonts w:ascii="Times New Roman" w:hAnsi="Times New Roman" w:eastAsia="黑体"/>
          <w:b/>
          <w:bCs/>
          <w:kern w:val="0"/>
          <w:szCs w:val="21"/>
          <w:highlight w:val="none"/>
        </w:rPr>
        <w:t>2</w:t>
      </w:r>
      <w:r>
        <w:rPr>
          <w:rFonts w:hint="eastAsia" w:ascii="Times New Roman" w:hAnsi="Times New Roman" w:eastAsia="黑体"/>
          <w:b/>
          <w:bCs/>
          <w:kern w:val="0"/>
          <w:szCs w:val="21"/>
          <w:highlight w:val="none"/>
          <w:lang w:val="en-US" w:eastAsia="zh-CN"/>
        </w:rPr>
        <w:t xml:space="preserve"> </w:t>
      </w:r>
      <w:r>
        <w:rPr>
          <w:rFonts w:hint="default" w:ascii="Times New Roman" w:hAnsi="Times New Roman"/>
          <w:szCs w:val="21"/>
          <w:highlight w:val="none"/>
        </w:rPr>
        <w:t>承压预制空心桩桩顶采用填芯混凝土内插钢筋与承台连接时，内插钢筋锚入承台内的有效长度不应小于</w:t>
      </w:r>
      <w:r>
        <w:rPr>
          <w:rFonts w:ascii="Times New Roman" w:hAnsi="Times New Roman"/>
          <w:szCs w:val="21"/>
          <w:highlight w:val="none"/>
        </w:rPr>
        <w:t>35</w:t>
      </w:r>
      <w:r>
        <w:rPr>
          <w:rFonts w:hint="default" w:ascii="Times New Roman" w:hAnsi="Times New Roman"/>
          <w:szCs w:val="21"/>
          <w:highlight w:val="none"/>
        </w:rPr>
        <w:t>倍内插钢筋直径，且不应小于</w:t>
      </w:r>
      <w:r>
        <w:rPr>
          <w:rFonts w:ascii="Times New Roman" w:hAnsi="Times New Roman"/>
          <w:szCs w:val="21"/>
          <w:highlight w:val="none"/>
        </w:rPr>
        <w:t>500mm</w:t>
      </w:r>
      <w:r>
        <w:rPr>
          <w:rFonts w:hint="default" w:ascii="Times New Roman" w:hAnsi="Times New Roman"/>
          <w:szCs w:val="21"/>
          <w:highlight w:val="none"/>
        </w:rPr>
        <w:t>。钢筋插入预制空心桩内腔的长度同填芯高度；</w:t>
      </w:r>
    </w:p>
    <w:p w14:paraId="79BBC545">
      <w:pPr>
        <w:snapToGrid/>
        <w:spacing w:line="240" w:lineRule="auto"/>
        <w:ind w:firstLine="422" w:firstLineChars="200"/>
        <w:rPr>
          <w:rFonts w:ascii="Times New Roman" w:hAnsi="Times New Roman"/>
          <w:szCs w:val="21"/>
          <w:highlight w:val="none"/>
        </w:rPr>
      </w:pPr>
      <w:r>
        <w:rPr>
          <w:rFonts w:hint="eastAsia" w:ascii="Times New Roman" w:hAnsi="Times New Roman" w:eastAsia="黑体"/>
          <w:b/>
          <w:bCs/>
          <w:kern w:val="0"/>
          <w:szCs w:val="21"/>
          <w:highlight w:val="none"/>
          <w:lang w:val="en-US" w:eastAsia="zh-CN"/>
        </w:rPr>
        <w:t>3</w:t>
      </w:r>
      <w:r>
        <w:rPr>
          <w:rFonts w:ascii="Times New Roman" w:hAnsi="Times New Roman"/>
          <w:b w:val="0"/>
          <w:szCs w:val="21"/>
          <w:highlight w:val="none"/>
        </w:rPr>
        <w:t xml:space="preserve"> </w:t>
      </w:r>
      <w:r>
        <w:rPr>
          <w:rFonts w:hint="default" w:ascii="Times New Roman" w:hAnsi="Times New Roman"/>
          <w:szCs w:val="21"/>
          <w:highlight w:val="none"/>
        </w:rPr>
        <w:t>抗拔桩采用桩身内的全部纵向钢棒直接与承台锚固时，锚固长度不应小于预应力钢棒的锚固长度且不小于1m</w:t>
      </w:r>
      <w:r>
        <w:rPr>
          <w:rFonts w:hint="eastAsia" w:ascii="Times New Roman" w:hAnsi="Times New Roman"/>
          <w:szCs w:val="21"/>
          <w:highlight w:val="none"/>
          <w:lang w:eastAsia="zh-CN"/>
        </w:rPr>
        <w:t>。</w:t>
      </w:r>
      <w:r>
        <w:rPr>
          <w:rFonts w:ascii="Times New Roman" w:hAnsi="Times New Roman"/>
          <w:szCs w:val="21"/>
          <w:highlight w:val="none"/>
        </w:rPr>
        <w:t>当</w:t>
      </w:r>
      <w:r>
        <w:rPr>
          <w:rFonts w:hint="eastAsia" w:ascii="Times New Roman" w:hAnsi="Times New Roman"/>
          <w:szCs w:val="21"/>
          <w:highlight w:val="none"/>
          <w:lang w:val="en-US" w:eastAsia="zh-CN"/>
        </w:rPr>
        <w:t>预应力钢棒长度不满足要求</w:t>
      </w:r>
      <w:r>
        <w:rPr>
          <w:rFonts w:ascii="Times New Roman" w:hAnsi="Times New Roman"/>
          <w:szCs w:val="21"/>
          <w:highlight w:val="none"/>
        </w:rPr>
        <w:t>时，应采用钢筋机械连接接头将钢棒与非预应力钢筋连接</w:t>
      </w:r>
      <w:r>
        <w:rPr>
          <w:rFonts w:hint="default" w:ascii="Times New Roman" w:hAnsi="Times New Roman"/>
          <w:szCs w:val="21"/>
          <w:highlight w:val="none"/>
        </w:rPr>
        <w:t>接长</w:t>
      </w:r>
      <w:r>
        <w:rPr>
          <w:rFonts w:ascii="Times New Roman" w:hAnsi="Times New Roman"/>
          <w:szCs w:val="21"/>
          <w:highlight w:val="none"/>
        </w:rPr>
        <w:t>，连接后的总锚固长度</w:t>
      </w:r>
      <w:r>
        <w:rPr>
          <w:rFonts w:hint="eastAsia" w:ascii="Times New Roman" w:hAnsi="Times New Roman"/>
          <w:szCs w:val="21"/>
          <w:highlight w:val="none"/>
        </w:rPr>
        <w:t>不应小于预应力钢棒的锚固长度且不小于1m</w:t>
      </w:r>
      <w:r>
        <w:rPr>
          <w:rFonts w:ascii="Times New Roman" w:hAnsi="Times New Roman"/>
          <w:szCs w:val="21"/>
          <w:highlight w:val="none"/>
        </w:rPr>
        <w:t>，</w:t>
      </w:r>
      <w:r>
        <w:rPr>
          <w:rFonts w:hint="default" w:ascii="Times New Roman" w:hAnsi="Times New Roman"/>
          <w:szCs w:val="21"/>
          <w:highlight w:val="none"/>
        </w:rPr>
        <w:t>钢筋机械连接接头</w:t>
      </w:r>
      <w:r>
        <w:rPr>
          <w:rFonts w:ascii="Times New Roman" w:hAnsi="Times New Roman"/>
          <w:szCs w:val="21"/>
          <w:highlight w:val="none"/>
        </w:rPr>
        <w:t>应满足与钢筋极限抗拉强度等强要求</w:t>
      </w:r>
      <w:r>
        <w:rPr>
          <w:rFonts w:hint="default" w:ascii="Times New Roman" w:hAnsi="Times New Roman"/>
          <w:szCs w:val="21"/>
          <w:highlight w:val="none"/>
        </w:rPr>
        <w:t>；</w:t>
      </w:r>
    </w:p>
    <w:p w14:paraId="3E13A597">
      <w:pPr>
        <w:adjustRightInd/>
        <w:snapToGrid/>
        <w:spacing w:line="240" w:lineRule="auto"/>
        <w:ind w:firstLine="422" w:firstLineChars="200"/>
        <w:rPr>
          <w:rFonts w:hint="eastAsia" w:ascii="Times New Roman" w:hAnsi="Times New Roman" w:eastAsia="宋体"/>
          <w:szCs w:val="21"/>
          <w:highlight w:val="none"/>
          <w:lang w:eastAsia="zh-CN"/>
        </w:rPr>
      </w:pPr>
      <w:r>
        <w:rPr>
          <w:rFonts w:hint="eastAsia" w:ascii="Times New Roman" w:hAnsi="Times New Roman" w:eastAsia="黑体"/>
          <w:b/>
          <w:bCs/>
          <w:kern w:val="0"/>
          <w:szCs w:val="21"/>
          <w:highlight w:val="none"/>
          <w:lang w:val="en-US" w:eastAsia="zh-CN"/>
        </w:rPr>
        <w:t xml:space="preserve">4 </w:t>
      </w:r>
      <w:r>
        <w:rPr>
          <w:rFonts w:hint="default" w:ascii="Times New Roman" w:hAnsi="Times New Roman"/>
          <w:szCs w:val="21"/>
          <w:highlight w:val="none"/>
        </w:rPr>
        <w:t>抗拔桩采用填芯混凝土内插钢筋与承台连接时，钢筋锚入承台的长度应按</w:t>
      </w:r>
      <w:r>
        <w:rPr>
          <w:rFonts w:hint="default" w:ascii="Times New Roman" w:hAnsi="Times New Roman"/>
          <w:bCs w:val="0"/>
          <w:szCs w:val="21"/>
          <w:highlight w:val="none"/>
        </w:rPr>
        <w:t>现行国家标准</w:t>
      </w:r>
      <w:r>
        <w:rPr>
          <w:rFonts w:hint="default" w:ascii="Times New Roman" w:hAnsi="Times New Roman"/>
          <w:szCs w:val="21"/>
          <w:highlight w:val="none"/>
        </w:rPr>
        <w:t>《混凝土结构设计</w:t>
      </w:r>
      <w:r>
        <w:rPr>
          <w:rFonts w:hint="eastAsia" w:ascii="Times New Roman" w:hAnsi="Times New Roman"/>
          <w:szCs w:val="21"/>
          <w:highlight w:val="none"/>
          <w:lang w:val="en-US" w:eastAsia="zh-CN"/>
        </w:rPr>
        <w:t>标准</w:t>
      </w:r>
      <w:r>
        <w:rPr>
          <w:rFonts w:hint="default" w:ascii="Times New Roman" w:hAnsi="Times New Roman"/>
          <w:szCs w:val="21"/>
          <w:highlight w:val="none"/>
        </w:rPr>
        <w:t>》</w:t>
      </w:r>
      <w:r>
        <w:rPr>
          <w:rFonts w:ascii="Times New Roman" w:hAnsi="Times New Roman"/>
          <w:szCs w:val="21"/>
          <w:highlight w:val="none"/>
        </w:rPr>
        <w:t>GB</w:t>
      </w:r>
      <w:r>
        <w:rPr>
          <w:rFonts w:hint="eastAsia" w:ascii="Times New Roman" w:hAnsi="Times New Roman"/>
          <w:szCs w:val="21"/>
          <w:highlight w:val="none"/>
          <w:lang w:val="en-US" w:eastAsia="zh-CN"/>
        </w:rPr>
        <w:t xml:space="preserve">/T </w:t>
      </w:r>
      <w:r>
        <w:rPr>
          <w:rFonts w:ascii="Times New Roman" w:hAnsi="Times New Roman"/>
          <w:szCs w:val="21"/>
          <w:highlight w:val="none"/>
        </w:rPr>
        <w:t xml:space="preserve">50010 </w:t>
      </w:r>
      <w:r>
        <w:rPr>
          <w:rFonts w:hint="default" w:ascii="Times New Roman" w:hAnsi="Times New Roman"/>
          <w:szCs w:val="21"/>
          <w:highlight w:val="none"/>
        </w:rPr>
        <w:t>的受拉锚固长度确定，并应通过现场静载荷试验验证</w:t>
      </w:r>
      <w:bookmarkEnd w:id="73"/>
      <w:r>
        <w:rPr>
          <w:rFonts w:hint="eastAsia" w:ascii="Times New Roman" w:hAnsi="Times New Roman"/>
          <w:szCs w:val="21"/>
          <w:highlight w:val="none"/>
          <w:lang w:eastAsia="zh-CN"/>
        </w:rPr>
        <w:t>；</w:t>
      </w:r>
    </w:p>
    <w:p w14:paraId="2919B4B5">
      <w:pPr>
        <w:adjustRightInd/>
        <w:snapToGrid/>
        <w:spacing w:line="240" w:lineRule="auto"/>
        <w:ind w:firstLine="422" w:firstLineChars="200"/>
        <w:rPr>
          <w:rFonts w:hint="default" w:ascii="Times New Roman" w:hAnsi="Times New Roman" w:eastAsia="宋体"/>
          <w:szCs w:val="21"/>
          <w:highlight w:val="none"/>
          <w:lang w:val="en-US" w:eastAsia="zh-CN"/>
        </w:rPr>
      </w:pPr>
      <w:r>
        <w:rPr>
          <w:rFonts w:hint="eastAsia" w:ascii="Times New Roman" w:hAnsi="Times New Roman" w:eastAsia="黑体"/>
          <w:b/>
          <w:bCs/>
          <w:kern w:val="0"/>
          <w:szCs w:val="21"/>
          <w:highlight w:val="none"/>
          <w:lang w:val="en-US" w:eastAsia="zh-CN"/>
        </w:rPr>
        <w:t>5</w:t>
      </w:r>
      <w:r>
        <w:rPr>
          <w:rFonts w:hint="eastAsia" w:ascii="Times New Roman" w:hAnsi="Times New Roman"/>
          <w:szCs w:val="21"/>
          <w:highlight w:val="none"/>
          <w:lang w:val="en-US" w:eastAsia="zh-CN"/>
        </w:rPr>
        <w:t xml:space="preserve"> 外芯顶标高宜与垫层底标高齐平。</w:t>
      </w:r>
    </w:p>
    <w:p w14:paraId="0EC9CE5C">
      <w:pPr>
        <w:adjustRightInd w:val="0"/>
        <w:snapToGrid w:val="0"/>
        <w:spacing w:line="312" w:lineRule="exact"/>
        <w:rPr>
          <w:rFonts w:hint="eastAsia" w:ascii="Times New Roman" w:hAnsi="Times New Roman" w:eastAsia="宋体"/>
          <w:szCs w:val="21"/>
          <w:highlight w:val="none"/>
          <w:lang w:eastAsia="zh-CN"/>
        </w:rPr>
      </w:pP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default" w:ascii="Times New Roman" w:hAnsi="Times New Roman" w:eastAsia="黑体"/>
          <w:b/>
          <w:bCs/>
          <w:kern w:val="0"/>
          <w:szCs w:val="21"/>
          <w:highlight w:val="none"/>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6</w:t>
      </w:r>
      <w:r>
        <w:rPr>
          <w:rFonts w:hint="default" w:ascii="Times New Roman" w:hAnsi="Times New Roman"/>
          <w:szCs w:val="21"/>
          <w:highlight w:val="none"/>
        </w:rPr>
        <w:t xml:space="preserve"> 承台受冲切计算时，桩径宜按</w:t>
      </w:r>
      <w:r>
        <w:rPr>
          <w:rFonts w:hint="default" w:ascii="Times New Roman" w:hAnsi="Times New Roman"/>
          <w:szCs w:val="21"/>
          <w:highlight w:val="none"/>
          <w:lang w:val="en-US" w:eastAsia="zh-CN"/>
        </w:rPr>
        <w:t>芯</w:t>
      </w:r>
      <w:r>
        <w:rPr>
          <w:rFonts w:hint="default" w:ascii="Times New Roman" w:hAnsi="Times New Roman"/>
          <w:szCs w:val="21"/>
          <w:highlight w:val="none"/>
        </w:rPr>
        <w:t>桩直径计算</w:t>
      </w:r>
      <w:r>
        <w:rPr>
          <w:rFonts w:hint="eastAsia" w:ascii="Times New Roman" w:hAnsi="Times New Roman"/>
          <w:szCs w:val="21"/>
          <w:highlight w:val="none"/>
          <w:lang w:eastAsia="zh-CN"/>
        </w:rPr>
        <w:t>；承台剪跨比</w:t>
      </w:r>
      <w:r>
        <w:rPr>
          <w:rFonts w:hint="eastAsia" w:ascii="Times New Roman" w:hAnsi="Times New Roman"/>
          <w:szCs w:val="21"/>
          <w:highlight w:val="none"/>
          <w:lang w:val="en-US" w:eastAsia="zh-CN"/>
        </w:rPr>
        <w:t>计算</w:t>
      </w:r>
      <w:r>
        <w:rPr>
          <w:rFonts w:hint="eastAsia" w:ascii="Times New Roman" w:hAnsi="Times New Roman"/>
          <w:szCs w:val="21"/>
          <w:highlight w:val="none"/>
          <w:lang w:eastAsia="zh-CN"/>
        </w:rPr>
        <w:t>时，</w:t>
      </w:r>
      <w:r>
        <w:rPr>
          <w:rFonts w:hint="default" w:ascii="Times New Roman" w:hAnsi="Times New Roman"/>
          <w:szCs w:val="21"/>
          <w:highlight w:val="none"/>
        </w:rPr>
        <w:t>桩径宜按</w:t>
      </w:r>
      <w:r>
        <w:rPr>
          <w:rFonts w:hint="default" w:ascii="Times New Roman" w:hAnsi="Times New Roman"/>
          <w:szCs w:val="21"/>
          <w:highlight w:val="none"/>
          <w:lang w:val="en-US" w:eastAsia="zh-CN"/>
        </w:rPr>
        <w:t>芯</w:t>
      </w:r>
      <w:r>
        <w:rPr>
          <w:rFonts w:hint="default" w:ascii="Times New Roman" w:hAnsi="Times New Roman"/>
          <w:szCs w:val="21"/>
          <w:highlight w:val="none"/>
        </w:rPr>
        <w:t>桩直径计算</w:t>
      </w:r>
      <w:r>
        <w:rPr>
          <w:rFonts w:hint="eastAsia" w:ascii="Times New Roman" w:hAnsi="Times New Roman"/>
          <w:szCs w:val="21"/>
          <w:highlight w:val="none"/>
          <w:lang w:eastAsia="zh-CN"/>
        </w:rPr>
        <w:t>。</w:t>
      </w:r>
    </w:p>
    <w:p w14:paraId="3E0242E6">
      <w:pPr>
        <w:rPr>
          <w:rFonts w:ascii="Times New Roman" w:hAnsi="Times New Roman"/>
          <w:szCs w:val="21"/>
          <w:highlight w:val="none"/>
        </w:rPr>
      </w:pPr>
      <w:r>
        <w:rPr>
          <w:rFonts w:ascii="Times New Roman" w:hAnsi="Times New Roman"/>
          <w:szCs w:val="21"/>
          <w:highlight w:val="none"/>
        </w:rPr>
        <w:br w:type="page"/>
      </w:r>
    </w:p>
    <w:p w14:paraId="6D9268D2">
      <w:pPr>
        <w:pStyle w:val="2"/>
        <w:spacing w:before="156" w:after="156"/>
        <w:rPr>
          <w:rFonts w:ascii="Times New Roman" w:hAnsi="Times New Roman"/>
          <w:highlight w:val="none"/>
        </w:rPr>
      </w:pPr>
      <w:bookmarkStart w:id="74" w:name="_Toc26084"/>
      <w:bookmarkStart w:id="75" w:name="_Toc85"/>
      <w:bookmarkStart w:id="76" w:name="_Toc478803285"/>
      <w:bookmarkStart w:id="77" w:name="_Toc2973"/>
      <w:bookmarkStart w:id="78" w:name="_Toc478810143"/>
      <w:bookmarkStart w:id="79" w:name="_5 施工"/>
      <w:r>
        <w:rPr>
          <w:rFonts w:hint="default" w:ascii="Times New Roman" w:hAnsi="Times New Roman"/>
          <w:b/>
          <w:bCs w:val="0"/>
          <w:highlight w:val="none"/>
        </w:rPr>
        <w:t>5</w:t>
      </w:r>
      <w:r>
        <w:rPr>
          <w:rFonts w:ascii="Times New Roman" w:hAnsi="Times New Roman"/>
          <w:highlight w:val="none"/>
        </w:rPr>
        <w:t xml:space="preserve"> </w:t>
      </w:r>
      <w:r>
        <w:rPr>
          <w:rFonts w:hint="default" w:ascii="Times New Roman" w:hAnsi="Times New Roman"/>
          <w:highlight w:val="none"/>
          <w:lang w:val="en-US" w:eastAsia="zh-CN"/>
        </w:rPr>
        <w:t>施工</w:t>
      </w:r>
      <w:bookmarkEnd w:id="74"/>
      <w:bookmarkEnd w:id="75"/>
      <w:bookmarkEnd w:id="76"/>
      <w:bookmarkEnd w:id="77"/>
      <w:bookmarkEnd w:id="78"/>
    </w:p>
    <w:bookmarkEnd w:id="79"/>
    <w:p w14:paraId="04E7A9AA">
      <w:pPr>
        <w:pStyle w:val="3"/>
        <w:spacing w:before="312" w:after="312"/>
        <w:rPr>
          <w:rFonts w:ascii="Times New Roman" w:hAnsi="Times New Roman"/>
          <w:highlight w:val="none"/>
        </w:rPr>
      </w:pPr>
      <w:bookmarkStart w:id="80" w:name="_Toc7401"/>
      <w:bookmarkStart w:id="81" w:name="_Toc478810144"/>
      <w:bookmarkStart w:id="82" w:name="_Toc5157"/>
      <w:bookmarkStart w:id="83" w:name="_Toc30680"/>
      <w:bookmarkStart w:id="84" w:name="_Toc478803286"/>
      <w:bookmarkStart w:id="85" w:name="_5.1 一般规定"/>
      <w:r>
        <w:rPr>
          <w:rFonts w:hint="default" w:ascii="Times New Roman" w:hAnsi="Times New Roman"/>
          <w:b/>
          <w:bCs w:val="0"/>
          <w:highlight w:val="none"/>
        </w:rPr>
        <w:t>5.</w:t>
      </w:r>
      <w:r>
        <w:rPr>
          <w:rFonts w:ascii="Times New Roman" w:hAnsi="Times New Roman"/>
          <w:b/>
          <w:bCs w:val="0"/>
          <w:highlight w:val="none"/>
        </w:rPr>
        <w:t>1</w:t>
      </w:r>
      <w:r>
        <w:rPr>
          <w:rFonts w:ascii="Times New Roman" w:hAnsi="Times New Roman"/>
          <w:highlight w:val="none"/>
        </w:rPr>
        <w:t xml:space="preserve"> </w:t>
      </w:r>
      <w:r>
        <w:rPr>
          <w:rFonts w:hint="default" w:ascii="Times New Roman" w:hAnsi="Times New Roman"/>
          <w:highlight w:val="none"/>
          <w:lang w:val="en-US" w:eastAsia="zh-CN"/>
        </w:rPr>
        <w:t>一般规定</w:t>
      </w:r>
      <w:bookmarkEnd w:id="80"/>
      <w:bookmarkEnd w:id="81"/>
      <w:bookmarkEnd w:id="82"/>
      <w:bookmarkEnd w:id="83"/>
      <w:bookmarkEnd w:id="84"/>
    </w:p>
    <w:bookmarkEnd w:id="85"/>
    <w:p w14:paraId="5DBE6B98">
      <w:pPr>
        <w:rPr>
          <w:rFonts w:hint="default" w:ascii="Times New Roman" w:hAnsi="Times New Roman" w:eastAsiaTheme="minorEastAsia"/>
          <w:color w:val="0000FF"/>
          <w:szCs w:val="21"/>
          <w:highlight w:val="none"/>
          <w:lang w:eastAsia="zh-CN"/>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.1.1</w:t>
      </w:r>
      <w:r>
        <w:rPr>
          <w:rFonts w:ascii="Times New Roman" w:hAnsi="Times New Roman" w:eastAsiaTheme="minorEastAsia"/>
          <w:b/>
          <w:szCs w:val="21"/>
          <w:highlight w:val="none"/>
        </w:rPr>
        <w:t xml:space="preserve"> </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的施工应符合下列规定：</w:t>
      </w:r>
    </w:p>
    <w:p w14:paraId="41C2FED2">
      <w:pPr>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应根据工程地质条件、场地环境条件、原材料供应情况和类似工程经验编制专项施工方案，因地制宜选择施工设备和</w:t>
      </w:r>
      <w:r>
        <w:rPr>
          <w:rFonts w:hint="eastAsia" w:ascii="Times New Roman" w:hAnsi="Times New Roman" w:eastAsiaTheme="minorEastAsia"/>
          <w:szCs w:val="21"/>
          <w:highlight w:val="none"/>
          <w:lang w:val="en-US" w:eastAsia="zh-CN"/>
        </w:rPr>
        <w:t>施工</w:t>
      </w:r>
      <w:r>
        <w:rPr>
          <w:rFonts w:hint="default" w:ascii="Times New Roman" w:hAnsi="Times New Roman" w:eastAsiaTheme="minorEastAsia"/>
          <w:szCs w:val="21"/>
          <w:highlight w:val="none"/>
        </w:rPr>
        <w:t>工艺；</w:t>
      </w:r>
    </w:p>
    <w:p w14:paraId="256D1C24">
      <w:pPr>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应通过工艺性试验确定施工工艺参数</w:t>
      </w:r>
      <w:r>
        <w:rPr>
          <w:rFonts w:hint="eastAsia" w:ascii="Times New Roman" w:hAnsi="Times New Roman" w:eastAsiaTheme="minorEastAsia"/>
          <w:szCs w:val="21"/>
          <w:highlight w:val="none"/>
          <w:lang w:eastAsia="zh-CN"/>
        </w:rPr>
        <w:t>；</w:t>
      </w:r>
    </w:p>
    <w:p w14:paraId="614A8F04">
      <w:pPr>
        <w:ind w:firstLine="422" w:firstLineChars="200"/>
        <w:rPr>
          <w:rFonts w:hint="default" w:ascii="Times New Roman" w:hAnsi="Times New Roman" w:eastAsiaTheme="minorEastAsia"/>
          <w:szCs w:val="21"/>
          <w:highlight w:val="none"/>
          <w:lang w:val="en-US" w:eastAsia="zh-CN"/>
        </w:rPr>
      </w:pPr>
      <w:r>
        <w:rPr>
          <w:rFonts w:hint="eastAsia" w:ascii="Times New Roman" w:hAnsi="Times New Roman" w:eastAsia="黑体"/>
          <w:b/>
          <w:bCs/>
          <w:kern w:val="0"/>
          <w:szCs w:val="21"/>
          <w:highlight w:val="none"/>
          <w:lang w:val="en-US" w:eastAsia="zh-CN"/>
        </w:rPr>
        <w:t>3</w:t>
      </w:r>
      <w:r>
        <w:rPr>
          <w:rFonts w:hint="eastAsia" w:ascii="Times New Roman" w:hAnsi="Times New Roman" w:eastAsiaTheme="minorEastAsia"/>
          <w:szCs w:val="21"/>
          <w:highlight w:val="none"/>
          <w:lang w:val="en-US" w:eastAsia="zh-CN"/>
        </w:rPr>
        <w:t xml:space="preserve"> 施工过程中</w:t>
      </w:r>
      <w:bookmarkStart w:id="86" w:name="OLE_LINK1"/>
      <w:r>
        <w:rPr>
          <w:rFonts w:hint="eastAsia" w:ascii="Times New Roman" w:hAnsi="Times New Roman" w:eastAsiaTheme="minorEastAsia"/>
          <w:szCs w:val="21"/>
          <w:highlight w:val="none"/>
          <w:lang w:val="en-US" w:eastAsia="zh-CN"/>
        </w:rPr>
        <w:t>宜采用智能化、信息化</w:t>
      </w:r>
      <w:bookmarkEnd w:id="86"/>
      <w:r>
        <w:rPr>
          <w:rFonts w:hint="eastAsia" w:ascii="Times New Roman" w:hAnsi="Times New Roman" w:eastAsiaTheme="minorEastAsia"/>
          <w:szCs w:val="21"/>
          <w:highlight w:val="none"/>
          <w:lang w:val="en-US" w:eastAsia="zh-CN"/>
        </w:rPr>
        <w:t>设备，以提高操作的便利性、施工的可视化和质量的可靠性。</w:t>
      </w:r>
    </w:p>
    <w:p w14:paraId="15376D31">
      <w:pPr>
        <w:rPr>
          <w:rFonts w:hint="default" w:ascii="Times New Roman" w:hAnsi="Times New Roman" w:eastAsiaTheme="minorEastAsia"/>
          <w:color w:val="0000FF"/>
          <w:szCs w:val="21"/>
          <w:highlight w:val="none"/>
          <w:lang w:eastAsia="zh-CN"/>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.1.</w:t>
      </w:r>
      <w:r>
        <w:rPr>
          <w:rFonts w:hint="default" w:ascii="Times New Roman" w:hAnsi="Times New Roman" w:eastAsia="黑体"/>
          <w:b/>
          <w:bCs/>
          <w:kern w:val="0"/>
          <w:szCs w:val="21"/>
          <w:highlight w:val="none"/>
          <w:lang w:val="en-US" w:eastAsia="zh-CN"/>
        </w:rPr>
        <w:t>2</w:t>
      </w:r>
      <w:r>
        <w:rPr>
          <w:rFonts w:ascii="Times New Roman" w:hAnsi="Times New Roman" w:eastAsiaTheme="minorEastAsia"/>
          <w:b/>
          <w:szCs w:val="21"/>
          <w:highlight w:val="none"/>
        </w:rPr>
        <w:t xml:space="preserve"> </w:t>
      </w:r>
      <w:r>
        <w:rPr>
          <w:rFonts w:hint="default" w:ascii="Times New Roman" w:hAnsi="Times New Roman" w:eastAsiaTheme="minorEastAsia"/>
          <w:szCs w:val="21"/>
          <w:highlight w:val="none"/>
        </w:rPr>
        <w:t>工艺性试验桩的施工应符合下列规定：</w:t>
      </w:r>
    </w:p>
    <w:p w14:paraId="488688F0">
      <w:pPr>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应选择有代表性的区域进行，试验数量宜根据土层条件、设计桩型等因素确定</w:t>
      </w:r>
      <w:r>
        <w:rPr>
          <w:rFonts w:hint="default"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试验数量不宜少于3根；</w:t>
      </w:r>
    </w:p>
    <w:p w14:paraId="724002CC">
      <w:pPr>
        <w:ind w:firstLine="422" w:firstLineChars="200"/>
        <w:rPr>
          <w:rFonts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当工艺性试验结果达不到预期要求时，应会同勘察</w:t>
      </w:r>
      <w:r>
        <w:rPr>
          <w:rFonts w:hint="eastAsia" w:ascii="Times New Roman" w:hAnsi="Times New Roman" w:eastAsiaTheme="minorEastAsia"/>
          <w:szCs w:val="21"/>
          <w:highlight w:val="none"/>
          <w:lang w:val="en-US" w:eastAsia="zh-CN"/>
        </w:rPr>
        <w:t>和</w:t>
      </w:r>
      <w:r>
        <w:rPr>
          <w:rFonts w:hint="default" w:ascii="Times New Roman" w:hAnsi="Times New Roman" w:eastAsiaTheme="minorEastAsia"/>
          <w:szCs w:val="21"/>
          <w:highlight w:val="none"/>
        </w:rPr>
        <w:t>设计</w:t>
      </w:r>
      <w:r>
        <w:rPr>
          <w:rFonts w:hint="eastAsia" w:ascii="Times New Roman" w:hAnsi="Times New Roman" w:eastAsiaTheme="minorEastAsia"/>
          <w:szCs w:val="21"/>
          <w:highlight w:val="none"/>
          <w:lang w:val="en-US" w:eastAsia="zh-CN"/>
        </w:rPr>
        <w:t>等</w:t>
      </w:r>
      <w:r>
        <w:rPr>
          <w:rFonts w:hint="default" w:ascii="Times New Roman" w:hAnsi="Times New Roman" w:eastAsiaTheme="minorEastAsia"/>
          <w:szCs w:val="21"/>
          <w:highlight w:val="none"/>
        </w:rPr>
        <w:t>单位查明原因，采取改进工艺</w:t>
      </w:r>
      <w:r>
        <w:rPr>
          <w:rFonts w:hint="eastAsia" w:ascii="Times New Roman" w:hAnsi="Times New Roman" w:eastAsiaTheme="minorEastAsia"/>
          <w:szCs w:val="21"/>
          <w:highlight w:val="none"/>
          <w:lang w:val="en-US" w:eastAsia="zh-CN"/>
        </w:rPr>
        <w:t>的</w:t>
      </w:r>
      <w:r>
        <w:rPr>
          <w:rFonts w:hint="default" w:ascii="Times New Roman" w:hAnsi="Times New Roman" w:eastAsiaTheme="minorEastAsia"/>
          <w:szCs w:val="21"/>
          <w:highlight w:val="none"/>
        </w:rPr>
        <w:t>措施或调整设计方案。</w:t>
      </w:r>
    </w:p>
    <w:p w14:paraId="46180CFD">
      <w:pPr>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.1.</w:t>
      </w:r>
      <w:r>
        <w:rPr>
          <w:rFonts w:hint="default" w:ascii="Times New Roman" w:hAnsi="Times New Roman" w:eastAsia="黑体"/>
          <w:b/>
          <w:bCs/>
          <w:kern w:val="0"/>
          <w:szCs w:val="21"/>
          <w:highlight w:val="none"/>
          <w:lang w:val="en-US" w:eastAsia="zh-CN"/>
        </w:rPr>
        <w:t>3</w:t>
      </w:r>
      <w:r>
        <w:rPr>
          <w:rFonts w:ascii="Times New Roman" w:hAnsi="Times New Roman" w:eastAsiaTheme="minorEastAsia"/>
          <w:b/>
          <w:szCs w:val="21"/>
          <w:highlight w:val="none"/>
        </w:rPr>
        <w:t xml:space="preserve"> </w:t>
      </w:r>
      <w:r>
        <w:rPr>
          <w:rFonts w:hint="default"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中</w:t>
      </w:r>
      <w:r>
        <w:rPr>
          <w:rFonts w:hint="eastAsia" w:ascii="Times New Roman" w:hAnsi="Times New Roman" w:eastAsiaTheme="minorEastAsia"/>
          <w:szCs w:val="21"/>
          <w:highlight w:val="none"/>
          <w:lang w:val="en-US" w:eastAsia="zh-CN"/>
        </w:rPr>
        <w:t>预成孔</w:t>
      </w:r>
      <w:r>
        <w:rPr>
          <w:rFonts w:hint="default" w:ascii="Times New Roman" w:hAnsi="Times New Roman" w:eastAsiaTheme="minorEastAsia"/>
          <w:szCs w:val="21"/>
          <w:highlight w:val="none"/>
        </w:rPr>
        <w:t>的</w:t>
      </w:r>
      <w:r>
        <w:rPr>
          <w:rFonts w:hint="default" w:ascii="Times New Roman" w:hAnsi="Times New Roman" w:eastAsiaTheme="minorEastAsia"/>
          <w:szCs w:val="21"/>
          <w:highlight w:val="none"/>
          <w:lang w:val="en-US" w:eastAsia="zh-CN"/>
        </w:rPr>
        <w:t>水平</w:t>
      </w:r>
      <w:r>
        <w:rPr>
          <w:rFonts w:hint="default" w:ascii="Times New Roman" w:hAnsi="Times New Roman" w:eastAsiaTheme="minorEastAsia"/>
          <w:szCs w:val="21"/>
          <w:highlight w:val="none"/>
        </w:rPr>
        <w:t>允许偏差应为±</w:t>
      </w:r>
      <w:r>
        <w:rPr>
          <w:rFonts w:hint="eastAsia" w:ascii="Times New Roman" w:hAnsi="Times New Roman" w:eastAsiaTheme="minorEastAsia"/>
          <w:szCs w:val="21"/>
          <w:highlight w:val="none"/>
          <w:lang w:val="en-US" w:eastAsia="zh-CN"/>
        </w:rPr>
        <w:t>2</w:t>
      </w:r>
      <w:r>
        <w:rPr>
          <w:rFonts w:hint="default" w:ascii="Times New Roman" w:hAnsi="Times New Roman" w:eastAsiaTheme="minorEastAsia"/>
          <w:szCs w:val="21"/>
          <w:highlight w:val="none"/>
        </w:rPr>
        <w:t>0mm，垂直度允许偏差应为</w:t>
      </w:r>
      <w:r>
        <w:rPr>
          <w:rFonts w:hint="eastAsia" w:ascii="Times New Roman" w:hAnsi="Times New Roman" w:eastAsiaTheme="minorEastAsia"/>
          <w:szCs w:val="21"/>
          <w:highlight w:val="none"/>
          <w:lang w:val="en-US" w:eastAsia="zh-CN"/>
        </w:rPr>
        <w:t>1</w:t>
      </w:r>
      <w:r>
        <w:rPr>
          <w:rFonts w:hint="default" w:ascii="Times New Roman" w:hAnsi="Times New Roman" w:eastAsiaTheme="minorEastAsia"/>
          <w:szCs w:val="21"/>
          <w:highlight w:val="none"/>
        </w:rPr>
        <w:t>%</w:t>
      </w:r>
      <w:r>
        <w:rPr>
          <w:rFonts w:hint="eastAsia" w:ascii="Times New Roman" w:hAnsi="Times New Roman" w:eastAsiaTheme="minorEastAsia"/>
          <w:szCs w:val="21"/>
          <w:highlight w:val="none"/>
          <w:lang w:eastAsia="zh-CN"/>
        </w:rPr>
        <w:t>；</w:t>
      </w:r>
      <w:r>
        <w:rPr>
          <w:rFonts w:hint="eastAsia" w:ascii="Times New Roman" w:hAnsi="Times New Roman" w:eastAsiaTheme="minorEastAsia"/>
          <w:szCs w:val="21"/>
          <w:highlight w:val="none"/>
          <w:lang w:val="en-US" w:eastAsia="zh-CN"/>
        </w:rPr>
        <w:t>芯桩植入</w:t>
      </w:r>
      <w:r>
        <w:rPr>
          <w:rFonts w:hint="default" w:ascii="Times New Roman" w:hAnsi="Times New Roman" w:eastAsiaTheme="minorEastAsia"/>
          <w:szCs w:val="21"/>
          <w:highlight w:val="none"/>
        </w:rPr>
        <w:t>的</w:t>
      </w:r>
      <w:r>
        <w:rPr>
          <w:rFonts w:hint="default" w:ascii="Times New Roman" w:hAnsi="Times New Roman" w:eastAsiaTheme="minorEastAsia"/>
          <w:szCs w:val="21"/>
          <w:highlight w:val="none"/>
          <w:lang w:val="en-US" w:eastAsia="zh-CN"/>
        </w:rPr>
        <w:t>水平</w:t>
      </w:r>
      <w:r>
        <w:rPr>
          <w:rFonts w:hint="default" w:ascii="Times New Roman" w:hAnsi="Times New Roman" w:eastAsiaTheme="minorEastAsia"/>
          <w:szCs w:val="21"/>
          <w:highlight w:val="none"/>
        </w:rPr>
        <w:t>允许偏差应为±</w:t>
      </w:r>
      <w:r>
        <w:rPr>
          <w:rFonts w:hint="eastAsia" w:ascii="Times New Roman" w:hAnsi="Times New Roman" w:eastAsiaTheme="minorEastAsia"/>
          <w:szCs w:val="21"/>
          <w:highlight w:val="none"/>
          <w:lang w:val="en-US" w:eastAsia="zh-CN"/>
        </w:rPr>
        <w:t>1</w:t>
      </w:r>
      <w:r>
        <w:rPr>
          <w:rFonts w:hint="default" w:ascii="Times New Roman" w:hAnsi="Times New Roman" w:eastAsiaTheme="minorEastAsia"/>
          <w:szCs w:val="21"/>
          <w:highlight w:val="none"/>
        </w:rPr>
        <w:t>0mm，垂直度允许偏差应为</w:t>
      </w:r>
      <w:r>
        <w:rPr>
          <w:rFonts w:hint="eastAsia" w:ascii="Times New Roman" w:hAnsi="Times New Roman" w:eastAsiaTheme="minorEastAsia"/>
          <w:szCs w:val="21"/>
          <w:highlight w:val="none"/>
          <w:lang w:val="en-US" w:eastAsia="zh-CN"/>
        </w:rPr>
        <w:t>0.5</w:t>
      </w:r>
      <w:r>
        <w:rPr>
          <w:rFonts w:hint="default" w:ascii="Times New Roman" w:hAnsi="Times New Roman" w:eastAsiaTheme="minorEastAsia"/>
          <w:szCs w:val="21"/>
          <w:highlight w:val="none"/>
        </w:rPr>
        <w:t>%。</w:t>
      </w:r>
    </w:p>
    <w:p w14:paraId="474DF0F5">
      <w:pPr>
        <w:rPr>
          <w:rFonts w:hint="eastAsia"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.1.</w:t>
      </w:r>
      <w:r>
        <w:rPr>
          <w:rFonts w:hint="eastAsia" w:ascii="Times New Roman" w:hAnsi="Times New Roman" w:eastAsia="黑体"/>
          <w:b/>
          <w:bCs/>
          <w:kern w:val="0"/>
          <w:szCs w:val="21"/>
          <w:highlight w:val="none"/>
          <w:lang w:val="en-US" w:eastAsia="zh-CN"/>
        </w:rPr>
        <w:t>4</w:t>
      </w:r>
      <w:r>
        <w:rPr>
          <w:rFonts w:ascii="Times New Roman" w:hAnsi="Times New Roman" w:eastAsiaTheme="minorEastAsia"/>
          <w:b/>
          <w:szCs w:val="21"/>
          <w:highlight w:val="none"/>
        </w:rPr>
        <w:t xml:space="preserve"> </w:t>
      </w:r>
      <w:r>
        <w:rPr>
          <w:rFonts w:hint="eastAsia" w:ascii="Times New Roman" w:hAnsi="Times New Roman" w:eastAsiaTheme="minorEastAsia"/>
          <w:szCs w:val="21"/>
          <w:highlight w:val="none"/>
          <w:lang w:val="en-US" w:eastAsia="zh-CN"/>
        </w:rPr>
        <w:t>芯桩</w:t>
      </w:r>
      <w:r>
        <w:rPr>
          <w:rFonts w:hint="default" w:ascii="Times New Roman" w:hAnsi="Times New Roman" w:eastAsiaTheme="minorEastAsia"/>
          <w:szCs w:val="21"/>
          <w:highlight w:val="none"/>
          <w:lang w:eastAsia="zh-CN"/>
        </w:rPr>
        <w:t>植入时间</w:t>
      </w:r>
      <w:r>
        <w:rPr>
          <w:rFonts w:hint="eastAsia" w:ascii="Times New Roman" w:hAnsi="Times New Roman" w:eastAsiaTheme="minorEastAsia"/>
          <w:szCs w:val="21"/>
          <w:highlight w:val="none"/>
          <w:lang w:val="en-US" w:eastAsia="zh-CN"/>
        </w:rPr>
        <w:t>应符合下列规定：</w:t>
      </w:r>
    </w:p>
    <w:p w14:paraId="5E31AD69">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对于水泥土或固化土外芯的预制桩植桩，在</w:t>
      </w:r>
      <w:r>
        <w:rPr>
          <w:rFonts w:hint="default" w:ascii="Times New Roman" w:hAnsi="Times New Roman" w:eastAsiaTheme="minorEastAsia"/>
          <w:szCs w:val="21"/>
          <w:highlight w:val="none"/>
          <w:lang w:eastAsia="zh-CN"/>
        </w:rPr>
        <w:t>夏季</w:t>
      </w:r>
      <w:r>
        <w:rPr>
          <w:rFonts w:hint="eastAsia" w:ascii="Times New Roman" w:hAnsi="Times New Roman" w:eastAsiaTheme="minorEastAsia"/>
          <w:szCs w:val="21"/>
          <w:highlight w:val="none"/>
          <w:lang w:val="en-US" w:eastAsia="zh-CN"/>
        </w:rPr>
        <w:t>时不宜大于</w:t>
      </w:r>
      <w:r>
        <w:rPr>
          <w:rFonts w:hint="default" w:ascii="Times New Roman" w:hAnsi="Times New Roman" w:eastAsiaTheme="minorEastAsia"/>
          <w:szCs w:val="21"/>
          <w:highlight w:val="none"/>
          <w:lang w:eastAsia="zh-CN"/>
        </w:rPr>
        <w:t>3小时，</w:t>
      </w:r>
      <w:r>
        <w:rPr>
          <w:rFonts w:hint="eastAsia" w:ascii="Times New Roman" w:hAnsi="Times New Roman" w:eastAsiaTheme="minorEastAsia"/>
          <w:szCs w:val="21"/>
          <w:highlight w:val="none"/>
          <w:lang w:val="en-US" w:eastAsia="zh-CN"/>
        </w:rPr>
        <w:t>在</w:t>
      </w:r>
      <w:r>
        <w:rPr>
          <w:rFonts w:hint="default" w:ascii="Times New Roman" w:hAnsi="Times New Roman" w:eastAsiaTheme="minorEastAsia"/>
          <w:szCs w:val="21"/>
          <w:highlight w:val="none"/>
          <w:lang w:eastAsia="zh-CN"/>
        </w:rPr>
        <w:t>冬季</w:t>
      </w:r>
      <w:r>
        <w:rPr>
          <w:rFonts w:hint="eastAsia" w:ascii="Times New Roman" w:hAnsi="Times New Roman" w:eastAsiaTheme="minorEastAsia"/>
          <w:szCs w:val="21"/>
          <w:highlight w:val="none"/>
          <w:lang w:val="en-US" w:eastAsia="zh-CN"/>
        </w:rPr>
        <w:t>时不宜大于5</w:t>
      </w:r>
      <w:r>
        <w:rPr>
          <w:rFonts w:hint="default" w:ascii="Times New Roman" w:hAnsi="Times New Roman" w:eastAsiaTheme="minorEastAsia"/>
          <w:szCs w:val="21"/>
          <w:highlight w:val="none"/>
          <w:lang w:eastAsia="zh-CN"/>
        </w:rPr>
        <w:t>小时</w:t>
      </w:r>
      <w:r>
        <w:rPr>
          <w:rFonts w:hint="eastAsia" w:ascii="Times New Roman" w:hAnsi="Times New Roman" w:eastAsiaTheme="minorEastAsia"/>
          <w:szCs w:val="21"/>
          <w:highlight w:val="none"/>
          <w:lang w:eastAsia="zh-CN"/>
        </w:rPr>
        <w:t>；</w:t>
      </w:r>
    </w:p>
    <w:p w14:paraId="594C1B3B">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default" w:ascii="Times New Roman" w:hAnsi="Times New Roman" w:eastAsiaTheme="minorEastAsia"/>
          <w:szCs w:val="21"/>
          <w:highlight w:val="none"/>
          <w:lang w:val="en-US" w:eastAsia="zh-CN"/>
        </w:rPr>
      </w:pPr>
      <w:r>
        <w:rPr>
          <w:rFonts w:hint="eastAsia"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对于水泥砂浆或混凝土外芯的预制桩植桩，在</w:t>
      </w:r>
      <w:r>
        <w:rPr>
          <w:rFonts w:hint="default" w:ascii="Times New Roman" w:hAnsi="Times New Roman" w:eastAsiaTheme="minorEastAsia"/>
          <w:szCs w:val="21"/>
          <w:highlight w:val="none"/>
          <w:lang w:eastAsia="zh-CN"/>
        </w:rPr>
        <w:t>夏季</w:t>
      </w:r>
      <w:r>
        <w:rPr>
          <w:rFonts w:hint="eastAsia" w:ascii="Times New Roman" w:hAnsi="Times New Roman" w:eastAsiaTheme="minorEastAsia"/>
          <w:szCs w:val="21"/>
          <w:highlight w:val="none"/>
          <w:lang w:val="en-US" w:eastAsia="zh-CN"/>
        </w:rPr>
        <w:t>时不宜大于2</w:t>
      </w:r>
      <w:r>
        <w:rPr>
          <w:rFonts w:hint="default" w:ascii="Times New Roman" w:hAnsi="Times New Roman" w:eastAsiaTheme="minorEastAsia"/>
          <w:szCs w:val="21"/>
          <w:highlight w:val="none"/>
          <w:lang w:eastAsia="zh-CN"/>
        </w:rPr>
        <w:t>小时，</w:t>
      </w:r>
      <w:r>
        <w:rPr>
          <w:rFonts w:hint="eastAsia" w:ascii="Times New Roman" w:hAnsi="Times New Roman" w:eastAsiaTheme="minorEastAsia"/>
          <w:szCs w:val="21"/>
          <w:highlight w:val="none"/>
          <w:lang w:val="en-US" w:eastAsia="zh-CN"/>
        </w:rPr>
        <w:t>在</w:t>
      </w:r>
      <w:r>
        <w:rPr>
          <w:rFonts w:hint="default" w:ascii="Times New Roman" w:hAnsi="Times New Roman" w:eastAsiaTheme="minorEastAsia"/>
          <w:szCs w:val="21"/>
          <w:highlight w:val="none"/>
          <w:lang w:eastAsia="zh-CN"/>
        </w:rPr>
        <w:t>冬季</w:t>
      </w:r>
      <w:r>
        <w:rPr>
          <w:rFonts w:hint="eastAsia" w:ascii="Times New Roman" w:hAnsi="Times New Roman" w:eastAsiaTheme="minorEastAsia"/>
          <w:szCs w:val="21"/>
          <w:highlight w:val="none"/>
          <w:lang w:val="en-US" w:eastAsia="zh-CN"/>
        </w:rPr>
        <w:t>时不宜大于3</w:t>
      </w:r>
      <w:r>
        <w:rPr>
          <w:rFonts w:hint="default" w:ascii="Times New Roman" w:hAnsi="Times New Roman" w:eastAsiaTheme="minorEastAsia"/>
          <w:szCs w:val="21"/>
          <w:highlight w:val="none"/>
          <w:lang w:eastAsia="zh-CN"/>
        </w:rPr>
        <w:t>小时</w:t>
      </w:r>
      <w:r>
        <w:rPr>
          <w:rFonts w:hint="eastAsia" w:ascii="Times New Roman" w:hAnsi="Times New Roman" w:eastAsiaTheme="minorEastAsia"/>
          <w:szCs w:val="21"/>
          <w:highlight w:val="none"/>
          <w:lang w:eastAsia="zh-CN"/>
        </w:rPr>
        <w:t>。</w:t>
      </w:r>
    </w:p>
    <w:p w14:paraId="2CC34320">
      <w:pPr>
        <w:pStyle w:val="3"/>
        <w:spacing w:before="312" w:after="312"/>
        <w:rPr>
          <w:rFonts w:ascii="Times New Roman" w:hAnsi="Times New Roman" w:cs="Times New Roman"/>
          <w:highlight w:val="none"/>
        </w:rPr>
      </w:pPr>
      <w:bookmarkStart w:id="87" w:name="_Toc12684"/>
      <w:bookmarkStart w:id="88" w:name="_Toc8295"/>
      <w:bookmarkStart w:id="89" w:name="_Toc478810145"/>
      <w:bookmarkStart w:id="90" w:name="_Toc478803287"/>
      <w:bookmarkStart w:id="91" w:name="_Toc18021"/>
      <w:bookmarkStart w:id="92" w:name="_5.2 施工准备"/>
      <w:r>
        <w:rPr>
          <w:rFonts w:hint="default" w:ascii="Times New Roman" w:hAnsi="Times New Roman" w:cs="Times New Roman"/>
          <w:b/>
          <w:bCs w:val="0"/>
          <w:highlight w:val="none"/>
        </w:rPr>
        <w:t>5.2</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施工准备</w:t>
      </w:r>
      <w:bookmarkEnd w:id="87"/>
      <w:bookmarkEnd w:id="88"/>
      <w:bookmarkEnd w:id="89"/>
      <w:bookmarkEnd w:id="90"/>
      <w:bookmarkEnd w:id="91"/>
    </w:p>
    <w:bookmarkEnd w:id="92"/>
    <w:p w14:paraId="599C0553">
      <w:pPr>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.2.1</w:t>
      </w:r>
      <w:r>
        <w:rPr>
          <w:rFonts w:ascii="Times New Roman" w:hAnsi="Times New Roman" w:eastAsia="黑体"/>
          <w:kern w:val="0"/>
          <w:szCs w:val="21"/>
          <w:highlight w:val="none"/>
        </w:rPr>
        <w:t xml:space="preserve"> </w:t>
      </w:r>
      <w:r>
        <w:rPr>
          <w:rFonts w:hint="default" w:ascii="Times New Roman" w:hAnsi="Times New Roman" w:eastAsiaTheme="minorEastAsia"/>
          <w:szCs w:val="21"/>
          <w:highlight w:val="none"/>
        </w:rPr>
        <w:t>施工前应根据工程特点</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地质条件</w:t>
      </w:r>
      <w:r>
        <w:rPr>
          <w:rFonts w:hint="eastAsia" w:ascii="Times New Roman" w:hAnsi="Times New Roman" w:eastAsiaTheme="minorEastAsia"/>
          <w:szCs w:val="21"/>
          <w:highlight w:val="none"/>
          <w:lang w:val="en-US" w:eastAsia="zh-CN"/>
        </w:rPr>
        <w:t>和设备需求</w:t>
      </w:r>
      <w:r>
        <w:rPr>
          <w:rFonts w:hint="default" w:ascii="Times New Roman" w:hAnsi="Times New Roman" w:eastAsiaTheme="minorEastAsia"/>
          <w:szCs w:val="21"/>
          <w:highlight w:val="none"/>
        </w:rPr>
        <w:t>编制施工组织设计，制定应急预案，组织对现场施工操作人员进行安全技术交底，明确施工操作内容，合理布置施工材料、施工机械和施工线路。</w:t>
      </w:r>
    </w:p>
    <w:p w14:paraId="325F7427">
      <w:pPr>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.2.</w:t>
      </w:r>
      <w:r>
        <w:rPr>
          <w:rFonts w:hint="default" w:ascii="Times New Roman" w:hAnsi="Times New Roman" w:eastAsia="黑体"/>
          <w:b/>
          <w:bCs/>
          <w:kern w:val="0"/>
          <w:szCs w:val="21"/>
          <w:highlight w:val="none"/>
          <w:lang w:val="en-US" w:eastAsia="zh-CN"/>
        </w:rPr>
        <w:t>2</w:t>
      </w:r>
      <w:r>
        <w:rPr>
          <w:rFonts w:ascii="Times New Roman" w:hAnsi="Times New Roman" w:eastAsia="黑体"/>
          <w:kern w:val="0"/>
          <w:szCs w:val="21"/>
          <w:highlight w:val="none"/>
        </w:rPr>
        <w:t xml:space="preserve"> </w:t>
      </w:r>
      <w:r>
        <w:rPr>
          <w:rFonts w:hint="default" w:ascii="Times New Roman" w:hAnsi="Times New Roman" w:eastAsiaTheme="minorEastAsia"/>
          <w:szCs w:val="21"/>
          <w:highlight w:val="none"/>
        </w:rPr>
        <w:t>施工前</w:t>
      </w:r>
      <w:r>
        <w:rPr>
          <w:rFonts w:hint="eastAsia" w:ascii="Times New Roman" w:hAnsi="Times New Roman" w:eastAsiaTheme="minorEastAsia"/>
          <w:szCs w:val="21"/>
          <w:highlight w:val="none"/>
          <w:lang w:val="en-US" w:eastAsia="zh-CN"/>
        </w:rPr>
        <w:t>应</w:t>
      </w:r>
      <w:r>
        <w:rPr>
          <w:rFonts w:hint="default" w:ascii="Times New Roman" w:hAnsi="Times New Roman" w:eastAsiaTheme="minorEastAsia"/>
          <w:szCs w:val="21"/>
          <w:highlight w:val="none"/>
        </w:rPr>
        <w:t>平整场地、清除地下障碍物</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当遇松软地基时，应进行处理，确保桩机和起重设备的平稳移动。平整后的场地标高应高出</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设计桩顶标高不小于0</w:t>
      </w:r>
      <w:r>
        <w:rPr>
          <w:rFonts w:hint="default" w:ascii="Times New Roman" w:hAnsi="Times New Roman" w:eastAsiaTheme="minorEastAsia"/>
          <w:szCs w:val="21"/>
          <w:highlight w:val="none"/>
          <w:lang w:val="en-US" w:eastAsia="zh-CN"/>
        </w:rPr>
        <w:t>.</w:t>
      </w:r>
      <w:r>
        <w:rPr>
          <w:rFonts w:hint="default" w:ascii="Times New Roman" w:hAnsi="Times New Roman" w:eastAsiaTheme="minorEastAsia"/>
          <w:szCs w:val="21"/>
          <w:highlight w:val="none"/>
        </w:rPr>
        <w:t>5m。</w:t>
      </w:r>
    </w:p>
    <w:p w14:paraId="222D1022">
      <w:pPr>
        <w:spacing w:line="312" w:lineRule="exact"/>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.2.</w:t>
      </w:r>
      <w:r>
        <w:rPr>
          <w:rFonts w:hint="eastAsia" w:ascii="Times New Roman" w:hAnsi="Times New Roman" w:eastAsia="黑体"/>
          <w:b/>
          <w:bCs/>
          <w:kern w:val="0"/>
          <w:szCs w:val="21"/>
          <w:highlight w:val="none"/>
          <w:lang w:val="en-US" w:eastAsia="zh-CN"/>
        </w:rPr>
        <w:t>3</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预制桩植桩的</w:t>
      </w:r>
      <w:r>
        <w:rPr>
          <w:rFonts w:hint="default" w:ascii="Times New Roman" w:hAnsi="Times New Roman" w:eastAsiaTheme="minorEastAsia"/>
          <w:szCs w:val="21"/>
          <w:highlight w:val="none"/>
        </w:rPr>
        <w:t>施工应具备下列资料：</w:t>
      </w:r>
    </w:p>
    <w:p w14:paraId="3CF4B11A">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岩土工程勘察报告；</w:t>
      </w:r>
    </w:p>
    <w:p w14:paraId="57489709">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桩基工程</w:t>
      </w:r>
      <w:r>
        <w:rPr>
          <w:rFonts w:hint="eastAsia" w:ascii="Times New Roman" w:hAnsi="Times New Roman" w:eastAsiaTheme="minorEastAsia"/>
          <w:szCs w:val="21"/>
          <w:highlight w:val="none"/>
          <w:lang w:val="en-US" w:eastAsia="zh-CN"/>
        </w:rPr>
        <w:t>设计文件</w:t>
      </w:r>
      <w:r>
        <w:rPr>
          <w:rFonts w:hint="default" w:ascii="Times New Roman" w:hAnsi="Times New Roman" w:eastAsiaTheme="minorEastAsia"/>
          <w:szCs w:val="21"/>
          <w:highlight w:val="none"/>
        </w:rPr>
        <w:t>及图纸会审纪要；</w:t>
      </w:r>
    </w:p>
    <w:p w14:paraId="47961D29">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施工</w:t>
      </w:r>
      <w:r>
        <w:rPr>
          <w:rFonts w:hint="default" w:ascii="Times New Roman" w:hAnsi="Times New Roman" w:eastAsiaTheme="minorEastAsia"/>
          <w:szCs w:val="21"/>
          <w:highlight w:val="none"/>
        </w:rPr>
        <w:t>场地和相邻区域内的</w:t>
      </w:r>
      <w:r>
        <w:rPr>
          <w:rFonts w:hint="eastAsia" w:ascii="Times New Roman" w:hAnsi="Times New Roman" w:eastAsiaTheme="minorEastAsia"/>
          <w:szCs w:val="21"/>
          <w:highlight w:val="none"/>
          <w:lang w:eastAsia="zh-CN"/>
        </w:rPr>
        <w:t>建（构）筑物、</w:t>
      </w:r>
      <w:r>
        <w:rPr>
          <w:rFonts w:hint="default" w:ascii="Times New Roman" w:hAnsi="Times New Roman" w:eastAsiaTheme="minorEastAsia"/>
          <w:szCs w:val="21"/>
          <w:highlight w:val="none"/>
        </w:rPr>
        <w:t>地下管线、地下构筑物和架空线路等的调查资料；</w:t>
      </w:r>
    </w:p>
    <w:p w14:paraId="0C112840">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hint="default" w:ascii="Times New Roman" w:hAnsi="Times New Roman" w:eastAsiaTheme="minorEastAsia"/>
          <w:szCs w:val="21"/>
          <w:highlight w:val="none"/>
        </w:rPr>
        <w:t xml:space="preserve"> 主要施工机械及其配套设备的技术性能资料；</w:t>
      </w:r>
    </w:p>
    <w:p w14:paraId="1A37D153">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default" w:ascii="Times New Roman" w:hAnsi="Times New Roman" w:eastAsiaTheme="minorEastAsia"/>
          <w:szCs w:val="21"/>
          <w:highlight w:val="none"/>
        </w:rPr>
        <w:t xml:space="preserve"> 桩基工程的施工组织设计；</w:t>
      </w:r>
    </w:p>
    <w:p w14:paraId="4E333B73">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6</w:t>
      </w:r>
      <w:r>
        <w:rPr>
          <w:rFonts w:hint="default" w:ascii="Times New Roman" w:hAnsi="Times New Roman" w:eastAsiaTheme="minorEastAsia"/>
          <w:szCs w:val="21"/>
          <w:highlight w:val="none"/>
        </w:rPr>
        <w:t xml:space="preserve"> 水泥等原材料质检报告；</w:t>
      </w:r>
    </w:p>
    <w:p w14:paraId="778364FA">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7</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w:t>
      </w:r>
      <w:r>
        <w:rPr>
          <w:rFonts w:hint="default" w:ascii="Times New Roman" w:hAnsi="Times New Roman" w:eastAsiaTheme="minorEastAsia"/>
          <w:szCs w:val="21"/>
          <w:highlight w:val="none"/>
        </w:rPr>
        <w:t>桩的出厂合格证及</w:t>
      </w:r>
      <w:r>
        <w:rPr>
          <w:rFonts w:hint="eastAsia" w:ascii="Times New Roman" w:hAnsi="Times New Roman" w:eastAsiaTheme="minorEastAsia"/>
          <w:szCs w:val="21"/>
          <w:highlight w:val="none"/>
          <w:lang w:val="en-US" w:eastAsia="zh-CN"/>
        </w:rPr>
        <w:t>检测报告</w:t>
      </w:r>
      <w:r>
        <w:rPr>
          <w:rFonts w:hint="default" w:ascii="Times New Roman" w:hAnsi="Times New Roman" w:eastAsiaTheme="minorEastAsia"/>
          <w:szCs w:val="21"/>
          <w:highlight w:val="none"/>
        </w:rPr>
        <w:t>；</w:t>
      </w:r>
    </w:p>
    <w:p w14:paraId="33E23F6D">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8</w:t>
      </w:r>
      <w:r>
        <w:rPr>
          <w:rFonts w:hint="default" w:ascii="Times New Roman" w:hAnsi="Times New Roman" w:eastAsiaTheme="minorEastAsia"/>
          <w:szCs w:val="21"/>
          <w:highlight w:val="none"/>
        </w:rPr>
        <w:t xml:space="preserve"> 有关施工工艺参数的试验参考资料。</w:t>
      </w:r>
    </w:p>
    <w:p w14:paraId="687C2B61">
      <w:pPr>
        <w:spacing w:line="312" w:lineRule="exact"/>
        <w:rPr>
          <w:rFonts w:hint="default" w:ascii="Times New Roman" w:hAnsi="Times New Roman" w:eastAsiaTheme="minorEastAsia"/>
          <w:color w:val="0000FF"/>
          <w:szCs w:val="21"/>
          <w:highlight w:val="none"/>
          <w:lang w:eastAsia="zh-CN"/>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.2.</w:t>
      </w:r>
      <w:r>
        <w:rPr>
          <w:rFonts w:hint="eastAsia" w:ascii="Times New Roman" w:hAnsi="Times New Roman" w:eastAsia="黑体"/>
          <w:b/>
          <w:bCs/>
          <w:kern w:val="0"/>
          <w:szCs w:val="21"/>
          <w:highlight w:val="none"/>
          <w:lang w:val="en-US" w:eastAsia="zh-CN"/>
        </w:rPr>
        <w:t>4</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桩基</w:t>
      </w:r>
      <w:r>
        <w:rPr>
          <w:rFonts w:hint="default" w:ascii="Times New Roman" w:hAnsi="Times New Roman" w:eastAsiaTheme="minorEastAsia"/>
          <w:szCs w:val="21"/>
          <w:highlight w:val="none"/>
        </w:rPr>
        <w:t>轴线的控制点和水准点应设在不受施工影响的地方</w:t>
      </w:r>
      <w:r>
        <w:rPr>
          <w:rFonts w:hint="default"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并妥善保护，施工中应定期复测。</w:t>
      </w:r>
    </w:p>
    <w:p w14:paraId="0F5C31DB">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.2.</w:t>
      </w:r>
      <w:r>
        <w:rPr>
          <w:rFonts w:hint="eastAsia" w:ascii="Times New Roman" w:hAnsi="Times New Roman" w:eastAsia="黑体"/>
          <w:b/>
          <w:bCs/>
          <w:kern w:val="0"/>
          <w:szCs w:val="21"/>
          <w:highlight w:val="none"/>
          <w:lang w:val="en-US" w:eastAsia="zh-CN"/>
        </w:rPr>
        <w:t>5</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施工前应对</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施工机械及其配套设备进行试运行，并对施工参数进行标定。</w:t>
      </w:r>
    </w:p>
    <w:p w14:paraId="79EBCE79">
      <w:pPr>
        <w:pStyle w:val="3"/>
        <w:spacing w:before="312" w:after="312"/>
        <w:rPr>
          <w:rFonts w:hint="default" w:ascii="Times New Roman" w:hAnsi="Times New Roman" w:cs="Times New Roman"/>
          <w:highlight w:val="none"/>
          <w:lang w:val="en-US"/>
        </w:rPr>
      </w:pPr>
      <w:bookmarkStart w:id="93" w:name="_Toc27946"/>
      <w:bookmarkStart w:id="94" w:name="_Toc19188"/>
      <w:bookmarkStart w:id="95" w:name="_5.3 放样与定位"/>
      <w:r>
        <w:rPr>
          <w:rFonts w:hint="default" w:ascii="Times New Roman" w:hAnsi="Times New Roman" w:cs="Times New Roman"/>
          <w:b/>
          <w:bCs w:val="0"/>
          <w:highlight w:val="none"/>
        </w:rPr>
        <w:t>5.3</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放样与定位</w:t>
      </w:r>
      <w:bookmarkEnd w:id="93"/>
      <w:bookmarkEnd w:id="94"/>
    </w:p>
    <w:bookmarkEnd w:id="95"/>
    <w:p w14:paraId="1FDD30AE">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3</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1</w:t>
      </w:r>
      <w:r>
        <w:rPr>
          <w:rFonts w:hint="default" w:ascii="Times New Roman" w:hAnsi="Times New Roman" w:eastAsia="黑体"/>
          <w:kern w:val="0"/>
          <w:szCs w:val="21"/>
          <w:highlight w:val="none"/>
        </w:rPr>
        <w:t xml:space="preserve"> </w:t>
      </w:r>
      <w:r>
        <w:rPr>
          <w:rFonts w:hint="default" w:ascii="Times New Roman" w:hAnsi="Times New Roman" w:eastAsiaTheme="minorEastAsia"/>
          <w:szCs w:val="21"/>
          <w:highlight w:val="none"/>
        </w:rPr>
        <w:t>放样定位测量控制应符合下列规定：</w:t>
      </w:r>
    </w:p>
    <w:p w14:paraId="1B13BD73">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施工前，应进行施工地面标高的测量和桩的定位放线，桩位放线标志埋设应可靠稳固</w:t>
      </w:r>
      <w:r>
        <w:rPr>
          <w:rFonts w:hint="eastAsia" w:ascii="Times New Roman" w:hAnsi="Times New Roman" w:eastAsiaTheme="minorEastAsia"/>
          <w:szCs w:val="21"/>
          <w:highlight w:val="none"/>
          <w:lang w:eastAsia="zh-CN"/>
        </w:rPr>
        <w:t>；</w:t>
      </w:r>
    </w:p>
    <w:p w14:paraId="4BC3AF71">
      <w:pPr>
        <w:spacing w:line="312" w:lineRule="exact"/>
        <w:ind w:firstLine="422" w:firstLineChars="200"/>
        <w:rPr>
          <w:rFonts w:hint="default" w:ascii="Times New Roman" w:hAnsi="Times New Roman" w:eastAsiaTheme="minorEastAsia"/>
          <w:szCs w:val="21"/>
          <w:highlight w:val="none"/>
        </w:rPr>
      </w:pPr>
      <w:r>
        <w:rPr>
          <w:rFonts w:hint="eastAsia"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rPr>
        <w:t xml:space="preserve"> 桩位轴线采取在地面设十字控制网和基准点</w:t>
      </w:r>
      <w:r>
        <w:rPr>
          <w:rFonts w:hint="eastAsia" w:ascii="Times New Roman" w:hAnsi="Times New Roman" w:eastAsiaTheme="minorEastAsia"/>
          <w:szCs w:val="21"/>
          <w:highlight w:val="none"/>
          <w:lang w:val="en-US" w:eastAsia="zh-CN"/>
        </w:rPr>
        <w:t>的方式</w:t>
      </w:r>
      <w:r>
        <w:rPr>
          <w:rFonts w:hint="default" w:ascii="Times New Roman" w:hAnsi="Times New Roman" w:eastAsiaTheme="minorEastAsia"/>
          <w:szCs w:val="21"/>
          <w:highlight w:val="none"/>
        </w:rPr>
        <w:t>。</w:t>
      </w:r>
    </w:p>
    <w:p w14:paraId="3F8633BD">
      <w:pPr>
        <w:spacing w:line="312" w:lineRule="exact"/>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3</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2</w:t>
      </w:r>
      <w:r>
        <w:rPr>
          <w:rFonts w:hint="default" w:ascii="Times New Roman" w:hAnsi="Times New Roman" w:eastAsia="黑体"/>
          <w:kern w:val="0"/>
          <w:szCs w:val="21"/>
          <w:highlight w:val="none"/>
        </w:rPr>
        <w:t xml:space="preserve"> </w:t>
      </w:r>
      <w:r>
        <w:rPr>
          <w:rFonts w:hint="default" w:ascii="Times New Roman" w:hAnsi="Times New Roman" w:eastAsiaTheme="minorEastAsia"/>
          <w:szCs w:val="21"/>
          <w:highlight w:val="none"/>
        </w:rPr>
        <w:t>钻机就位后，钻尖对准桩位中心，</w:t>
      </w:r>
      <w:r>
        <w:rPr>
          <w:rFonts w:hint="eastAsia" w:ascii="Times New Roman" w:hAnsi="Times New Roman" w:eastAsiaTheme="minorEastAsia"/>
          <w:szCs w:val="21"/>
          <w:highlight w:val="none"/>
          <w:lang w:val="en-US" w:eastAsia="zh-CN"/>
        </w:rPr>
        <w:t>钻</w:t>
      </w:r>
      <w:r>
        <w:rPr>
          <w:rFonts w:hint="default" w:ascii="Times New Roman" w:hAnsi="Times New Roman" w:eastAsiaTheme="minorEastAsia"/>
          <w:szCs w:val="21"/>
          <w:highlight w:val="none"/>
        </w:rPr>
        <w:t>机定位应准确、水平、垂直、稳固，钻杆中心线、钻头中心线应保持在同一直线</w:t>
      </w:r>
      <w:r>
        <w:rPr>
          <w:rFonts w:hint="eastAsia" w:ascii="Times New Roman" w:hAnsi="Times New Roman" w:eastAsiaTheme="minorEastAsia"/>
          <w:szCs w:val="21"/>
          <w:highlight w:val="none"/>
          <w:lang w:eastAsia="zh-CN"/>
        </w:rPr>
        <w:t>。</w:t>
      </w:r>
    </w:p>
    <w:p w14:paraId="047E94EB">
      <w:pPr>
        <w:pStyle w:val="3"/>
        <w:spacing w:before="312" w:after="312"/>
        <w:rPr>
          <w:rFonts w:ascii="Times New Roman" w:hAnsi="Times New Roman" w:cs="Times New Roman"/>
          <w:highlight w:val="none"/>
        </w:rPr>
      </w:pPr>
      <w:bookmarkStart w:id="96" w:name="_Toc478803288"/>
      <w:bookmarkStart w:id="97" w:name="_Toc9766"/>
      <w:bookmarkStart w:id="98" w:name="_Toc478810146"/>
      <w:bookmarkStart w:id="99" w:name="_Toc3532"/>
      <w:bookmarkStart w:id="100" w:name="_Toc6237"/>
      <w:bookmarkStart w:id="101" w:name="_5.3 施工工艺"/>
      <w:r>
        <w:rPr>
          <w:rFonts w:hint="default" w:ascii="Times New Roman" w:hAnsi="Times New Roman" w:cs="Times New Roman"/>
          <w:b/>
          <w:bCs w:val="0"/>
          <w:highlight w:val="none"/>
        </w:rPr>
        <w:t>5.</w:t>
      </w:r>
      <w:r>
        <w:rPr>
          <w:rFonts w:hint="eastAsia" w:ascii="Times New Roman" w:hAnsi="Times New Roman" w:cs="Times New Roman"/>
          <w:b/>
          <w:bCs w:val="0"/>
          <w:highlight w:val="none"/>
          <w:lang w:val="en-US" w:eastAsia="zh-CN"/>
        </w:rPr>
        <w:t>4</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搅拌</w:t>
      </w:r>
      <w:bookmarkEnd w:id="96"/>
      <w:bookmarkEnd w:id="97"/>
      <w:bookmarkEnd w:id="98"/>
      <w:bookmarkEnd w:id="99"/>
      <w:r>
        <w:rPr>
          <w:rFonts w:hint="eastAsia" w:ascii="Times New Roman" w:hAnsi="Times New Roman" w:cs="Times New Roman"/>
          <w:highlight w:val="none"/>
          <w:lang w:val="en-US" w:eastAsia="zh-CN"/>
        </w:rPr>
        <w:t>工艺</w:t>
      </w:r>
      <w:bookmarkEnd w:id="100"/>
    </w:p>
    <w:bookmarkEnd w:id="101"/>
    <w:p w14:paraId="4F8B9DA2">
      <w:pPr>
        <w:spacing w:line="312" w:lineRule="exact"/>
        <w:rPr>
          <w:rFonts w:hint="default" w:ascii="Times New Roman" w:hAnsi="Times New Roman" w:eastAsia="宋体"/>
          <w:szCs w:val="21"/>
          <w:highlight w:val="none"/>
          <w:lang w:val="en-US" w:eastAsia="zh-CN"/>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1</w:t>
      </w:r>
      <w:r>
        <w:rPr>
          <w:rFonts w:ascii="Times New Roman" w:hAnsi="Times New Roman"/>
          <w:szCs w:val="21"/>
          <w:highlight w:val="none"/>
        </w:rPr>
        <w:t xml:space="preserve"> </w:t>
      </w:r>
      <w:r>
        <w:rPr>
          <w:rFonts w:hint="eastAsia" w:ascii="Times New Roman" w:hAnsi="Times New Roman"/>
          <w:szCs w:val="21"/>
          <w:highlight w:val="none"/>
          <w:lang w:val="en-US" w:eastAsia="zh-CN"/>
        </w:rPr>
        <w:t>搅拌植桩施工时，水泥浆</w:t>
      </w:r>
      <w:r>
        <w:rPr>
          <w:rFonts w:hint="eastAsia" w:ascii="Times New Roman" w:hAnsi="Times New Roman" w:eastAsiaTheme="minorEastAsia"/>
          <w:szCs w:val="21"/>
          <w:highlight w:val="none"/>
          <w:lang w:val="en-US" w:eastAsia="zh-CN"/>
        </w:rPr>
        <w:t>宜</w:t>
      </w:r>
      <w:r>
        <w:rPr>
          <w:rFonts w:hint="default" w:ascii="Times New Roman" w:hAnsi="Times New Roman" w:eastAsiaTheme="minorEastAsia"/>
          <w:szCs w:val="21"/>
          <w:highlight w:val="none"/>
        </w:rPr>
        <w:t>符合下列规定：</w:t>
      </w:r>
    </w:p>
    <w:p w14:paraId="331A57A3">
      <w:pPr>
        <w:keepNext w:val="0"/>
        <w:keepLines w:val="0"/>
        <w:pageBreakBefore w:val="0"/>
        <w:widowControl w:val="0"/>
        <w:kinsoku/>
        <w:wordWrap/>
        <w:overflowPunct/>
        <w:topLinePunct w:val="0"/>
        <w:autoSpaceDE/>
        <w:autoSpaceDN/>
        <w:bidi w:val="0"/>
        <w:adjustRightInd/>
        <w:snapToGrid/>
        <w:spacing w:line="312" w:lineRule="exact"/>
        <w:ind w:firstLine="422" w:firstLineChars="200"/>
        <w:textAlignment w:val="auto"/>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1</w:t>
      </w:r>
      <w:r>
        <w:rPr>
          <w:rFonts w:hint="eastAsia"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制备好的浆液不得离析，泵送应连续，且应采用自动压力流量记录仪</w:t>
      </w:r>
      <w:r>
        <w:rPr>
          <w:rFonts w:hint="eastAsia" w:ascii="Times New Roman" w:hAnsi="Times New Roman" w:eastAsiaTheme="minorEastAsia"/>
          <w:szCs w:val="21"/>
          <w:highlight w:val="none"/>
          <w:lang w:eastAsia="zh-CN"/>
        </w:rPr>
        <w:t>；</w:t>
      </w:r>
    </w:p>
    <w:p w14:paraId="6566854E">
      <w:pPr>
        <w:keepNext w:val="0"/>
        <w:keepLines w:val="0"/>
        <w:pageBreakBefore w:val="0"/>
        <w:widowControl w:val="0"/>
        <w:kinsoku/>
        <w:wordWrap/>
        <w:overflowPunct/>
        <w:topLinePunct w:val="0"/>
        <w:autoSpaceDE/>
        <w:autoSpaceDN/>
        <w:bidi w:val="0"/>
        <w:adjustRightInd/>
        <w:snapToGrid/>
        <w:spacing w:line="312" w:lineRule="exact"/>
        <w:ind w:firstLine="422" w:firstLineChars="200"/>
        <w:textAlignment w:val="auto"/>
        <w:rPr>
          <w:rFonts w:hint="default" w:ascii="Times New Roman" w:hAnsi="Times New Roman" w:eastAsiaTheme="minorEastAsia"/>
          <w:szCs w:val="21"/>
          <w:highlight w:val="none"/>
        </w:rPr>
      </w:pPr>
      <w:r>
        <w:rPr>
          <w:rFonts w:hint="eastAsia" w:ascii="Times New Roman" w:hAnsi="Times New Roman" w:eastAsia="黑体"/>
          <w:b/>
          <w:bCs/>
          <w:kern w:val="0"/>
          <w:szCs w:val="21"/>
          <w:highlight w:val="none"/>
          <w:lang w:val="en-US" w:eastAsia="zh-CN"/>
        </w:rPr>
        <w:t>2</w:t>
      </w:r>
      <w:r>
        <w:rPr>
          <w:rFonts w:hint="eastAsia"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施工前确定机械的泥浆泵输浆量、泥浆经输浆管达到搅拌机喷浆口的时间和起吊设备提升速度等施工参数。注浆泵出口压力保持在0.4MPa～0.6MPa，并使搅拌下沉、提升速度与输浆速度同步；</w:t>
      </w:r>
    </w:p>
    <w:p w14:paraId="5EF676D2">
      <w:pPr>
        <w:keepNext w:val="0"/>
        <w:keepLines w:val="0"/>
        <w:pageBreakBefore w:val="0"/>
        <w:widowControl w:val="0"/>
        <w:kinsoku/>
        <w:wordWrap/>
        <w:overflowPunct/>
        <w:topLinePunct w:val="0"/>
        <w:autoSpaceDE/>
        <w:autoSpaceDN/>
        <w:bidi w:val="0"/>
        <w:adjustRightInd/>
        <w:snapToGrid/>
        <w:spacing w:line="312" w:lineRule="exact"/>
        <w:ind w:firstLine="422" w:firstLineChars="200"/>
        <w:textAlignment w:val="auto"/>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3</w:t>
      </w:r>
      <w:r>
        <w:rPr>
          <w:rFonts w:hint="eastAsia"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施工过程中严格控制水泥浆比重，现场应配备浆液比重计，随时对水泥浆进行抽检；水泥浆要充分拌合，每次投料后拌合时间不得少于3min，以确保浆</w:t>
      </w:r>
      <w:r>
        <w:rPr>
          <w:rFonts w:hint="eastAsia" w:ascii="Times New Roman" w:hAnsi="Times New Roman" w:eastAsiaTheme="minorEastAsia"/>
          <w:szCs w:val="21"/>
          <w:highlight w:val="none"/>
          <w:lang w:val="en-US" w:eastAsia="zh-CN"/>
        </w:rPr>
        <w:t>液</w:t>
      </w:r>
      <w:r>
        <w:rPr>
          <w:rFonts w:hint="default" w:ascii="Times New Roman" w:hAnsi="Times New Roman" w:eastAsiaTheme="minorEastAsia"/>
          <w:szCs w:val="21"/>
          <w:highlight w:val="none"/>
        </w:rPr>
        <w:t>均匀无结块，避免造成注浆管堵塞</w:t>
      </w:r>
      <w:r>
        <w:rPr>
          <w:rFonts w:hint="eastAsia" w:ascii="Times New Roman" w:hAnsi="Times New Roman" w:eastAsiaTheme="minorEastAsia"/>
          <w:szCs w:val="21"/>
          <w:highlight w:val="none"/>
          <w:lang w:eastAsia="zh-CN"/>
        </w:rPr>
        <w:t>。</w:t>
      </w:r>
    </w:p>
    <w:p w14:paraId="0EF6FE16">
      <w:pPr>
        <w:spacing w:line="312" w:lineRule="exact"/>
        <w:rPr>
          <w:rFonts w:hint="default" w:ascii="Times New Roman" w:hAnsi="Times New Roman"/>
          <w:szCs w:val="21"/>
          <w:highlight w:val="none"/>
          <w:lang w:val="en-US"/>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2</w:t>
      </w:r>
      <w:r>
        <w:rPr>
          <w:rFonts w:ascii="Times New Roman" w:hAnsi="Times New Roman"/>
          <w:szCs w:val="21"/>
          <w:highlight w:val="none"/>
        </w:rPr>
        <w:t xml:space="preserve"> </w:t>
      </w:r>
      <w:r>
        <w:rPr>
          <w:rFonts w:hint="eastAsia" w:ascii="Times New Roman" w:hAnsi="Times New Roman"/>
          <w:szCs w:val="21"/>
          <w:highlight w:val="none"/>
          <w:lang w:val="en-US" w:eastAsia="zh-CN"/>
        </w:rPr>
        <w:t>搅拌植桩施工时，喷浆宜符合下列规定：</w:t>
      </w:r>
    </w:p>
    <w:p w14:paraId="5D242B34">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在</w:t>
      </w:r>
      <w:r>
        <w:rPr>
          <w:rFonts w:hint="default" w:ascii="Times New Roman" w:hAnsi="Times New Roman" w:eastAsiaTheme="minorEastAsia"/>
          <w:szCs w:val="21"/>
          <w:highlight w:val="none"/>
        </w:rPr>
        <w:t>下沉</w:t>
      </w:r>
      <w:r>
        <w:rPr>
          <w:rFonts w:hint="eastAsia" w:ascii="Times New Roman" w:hAnsi="Times New Roman" w:eastAsiaTheme="minorEastAsia"/>
          <w:szCs w:val="21"/>
          <w:highlight w:val="none"/>
          <w:lang w:val="en-US" w:eastAsia="zh-CN"/>
        </w:rPr>
        <w:t>过程中</w:t>
      </w:r>
      <w:r>
        <w:rPr>
          <w:rFonts w:hint="default" w:ascii="Times New Roman" w:hAnsi="Times New Roman" w:eastAsiaTheme="minorEastAsia"/>
          <w:szCs w:val="21"/>
          <w:highlight w:val="none"/>
        </w:rPr>
        <w:t>喷浆</w:t>
      </w:r>
      <w:r>
        <w:rPr>
          <w:rFonts w:hint="eastAsia" w:ascii="Times New Roman" w:hAnsi="Times New Roman" w:eastAsiaTheme="minorEastAsia"/>
          <w:szCs w:val="21"/>
          <w:highlight w:val="none"/>
          <w:lang w:val="en-US" w:eastAsia="zh-CN"/>
        </w:rPr>
        <w:t>时，应</w:t>
      </w:r>
      <w:r>
        <w:rPr>
          <w:rFonts w:hint="default" w:ascii="Times New Roman" w:hAnsi="Times New Roman" w:eastAsiaTheme="minorEastAsia"/>
          <w:szCs w:val="21"/>
          <w:highlight w:val="none"/>
        </w:rPr>
        <w:t>调试喷浆装置至连续喷出</w:t>
      </w:r>
      <w:r>
        <w:rPr>
          <w:rFonts w:hint="eastAsia" w:ascii="Times New Roman" w:hAnsi="Times New Roman" w:eastAsiaTheme="minorEastAsia"/>
          <w:szCs w:val="21"/>
          <w:highlight w:val="none"/>
          <w:lang w:val="en-US" w:eastAsia="zh-CN"/>
        </w:rPr>
        <w:t>水</w:t>
      </w:r>
      <w:r>
        <w:rPr>
          <w:rFonts w:hint="default" w:ascii="Times New Roman" w:hAnsi="Times New Roman" w:eastAsiaTheme="minorEastAsia"/>
          <w:szCs w:val="21"/>
          <w:highlight w:val="none"/>
        </w:rPr>
        <w:t>泥浆，确保出浆正常后将旋转头自桩顶匀速旋转下沉，并连续喷入水泥浆，下沉至预计位置，不关闭动力头及泥浆泵</w:t>
      </w:r>
      <w:r>
        <w:rPr>
          <w:rFonts w:hint="eastAsia" w:ascii="Times New Roman" w:hAnsi="Times New Roman" w:eastAsiaTheme="minorEastAsia"/>
          <w:szCs w:val="21"/>
          <w:highlight w:val="none"/>
          <w:lang w:eastAsia="zh-CN"/>
        </w:rPr>
        <w:t>；</w:t>
      </w:r>
    </w:p>
    <w:p w14:paraId="79155BA5">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在</w:t>
      </w:r>
      <w:r>
        <w:rPr>
          <w:rFonts w:hint="default" w:ascii="Times New Roman" w:hAnsi="Times New Roman" w:eastAsiaTheme="minorEastAsia"/>
          <w:szCs w:val="21"/>
          <w:highlight w:val="none"/>
        </w:rPr>
        <w:t>提升</w:t>
      </w:r>
      <w:r>
        <w:rPr>
          <w:rFonts w:hint="eastAsia" w:ascii="Times New Roman" w:hAnsi="Times New Roman" w:eastAsiaTheme="minorEastAsia"/>
          <w:szCs w:val="21"/>
          <w:highlight w:val="none"/>
          <w:lang w:val="en-US" w:eastAsia="zh-CN"/>
        </w:rPr>
        <w:t>过程中</w:t>
      </w:r>
      <w:r>
        <w:rPr>
          <w:rFonts w:hint="default" w:ascii="Times New Roman" w:hAnsi="Times New Roman" w:eastAsiaTheme="minorEastAsia"/>
          <w:szCs w:val="21"/>
          <w:highlight w:val="none"/>
        </w:rPr>
        <w:t>喷浆</w:t>
      </w:r>
      <w:r>
        <w:rPr>
          <w:rFonts w:hint="eastAsia" w:ascii="Times New Roman" w:hAnsi="Times New Roman" w:eastAsiaTheme="minorEastAsia"/>
          <w:szCs w:val="21"/>
          <w:highlight w:val="none"/>
          <w:lang w:val="en-US" w:eastAsia="zh-CN"/>
        </w:rPr>
        <w:t>时，应在</w:t>
      </w:r>
      <w:r>
        <w:rPr>
          <w:rFonts w:hint="default" w:ascii="Times New Roman" w:hAnsi="Times New Roman" w:eastAsiaTheme="minorEastAsia"/>
          <w:szCs w:val="21"/>
          <w:highlight w:val="none"/>
        </w:rPr>
        <w:t>钻进搅拌</w:t>
      </w:r>
      <w:r>
        <w:rPr>
          <w:rFonts w:hint="eastAsia" w:ascii="Times New Roman" w:hAnsi="Times New Roman" w:eastAsiaTheme="minorEastAsia"/>
          <w:szCs w:val="21"/>
          <w:highlight w:val="none"/>
          <w:lang w:val="en-US" w:eastAsia="zh-CN"/>
        </w:rPr>
        <w:t>到预定深度</w:t>
      </w:r>
      <w:r>
        <w:rPr>
          <w:rFonts w:hint="default" w:ascii="Times New Roman" w:hAnsi="Times New Roman" w:eastAsiaTheme="minorEastAsia"/>
          <w:szCs w:val="21"/>
          <w:highlight w:val="none"/>
        </w:rPr>
        <w:t>后原地喷浆30秒，在水泥浆与桩端土充分搅拌后，将旋转头自桩端匀速提升喷浆，直至预定的设计停浆面</w:t>
      </w:r>
      <w:r>
        <w:rPr>
          <w:rFonts w:hint="eastAsia" w:ascii="Times New Roman" w:hAnsi="Times New Roman" w:eastAsiaTheme="minorEastAsia"/>
          <w:szCs w:val="21"/>
          <w:highlight w:val="none"/>
          <w:lang w:eastAsia="zh-CN"/>
        </w:rPr>
        <w:t>；</w:t>
      </w:r>
    </w:p>
    <w:p w14:paraId="54E29F54">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lang w:val="en-US" w:eastAsia="zh-CN"/>
        </w:rPr>
        <w:t>3</w:t>
      </w:r>
      <w:r>
        <w:rPr>
          <w:rFonts w:hint="eastAsia"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搅拌注浆次数宜通过现场试验确定，但不少于两次喷浆，处理粗砂、砾砂时，宜增加搅拌次数。</w:t>
      </w:r>
    </w:p>
    <w:p w14:paraId="03063013">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3</w:t>
      </w:r>
      <w:r>
        <w:rPr>
          <w:rFonts w:ascii="Times New Roman" w:hAnsi="Times New Roman"/>
          <w:szCs w:val="21"/>
          <w:highlight w:val="none"/>
        </w:rPr>
        <w:t xml:space="preserve"> </w:t>
      </w:r>
      <w:r>
        <w:rPr>
          <w:rFonts w:hint="eastAsia" w:ascii="Times New Roman" w:hAnsi="Times New Roman"/>
          <w:szCs w:val="21"/>
          <w:highlight w:val="none"/>
          <w:lang w:val="en-US" w:eastAsia="zh-CN"/>
        </w:rPr>
        <w:t>搅拌植桩施工时，</w:t>
      </w:r>
      <w:r>
        <w:rPr>
          <w:rFonts w:hint="default" w:ascii="Times New Roman" w:hAnsi="Times New Roman" w:eastAsiaTheme="minorEastAsia"/>
          <w:szCs w:val="21"/>
          <w:highlight w:val="none"/>
        </w:rPr>
        <w:t>搅拌注浆控制应符合下列规定：</w:t>
      </w:r>
    </w:p>
    <w:p w14:paraId="539F8503">
      <w:pPr>
        <w:keepNext w:val="0"/>
        <w:keepLines w:val="0"/>
        <w:pageBreakBefore w:val="0"/>
        <w:widowControl w:val="0"/>
        <w:kinsoku/>
        <w:wordWrap/>
        <w:overflowPunct/>
        <w:topLinePunct w:val="0"/>
        <w:autoSpaceDE/>
        <w:autoSpaceDN/>
        <w:bidi w:val="0"/>
        <w:adjustRightInd/>
        <w:snapToGrid/>
        <w:spacing w:line="312" w:lineRule="exact"/>
        <w:ind w:firstLine="422" w:firstLineChars="200"/>
        <w:textAlignment w:val="auto"/>
        <w:rPr>
          <w:rFonts w:hint="default" w:ascii="Times New Roman" w:hAnsi="Times New Roman" w:eastAsiaTheme="minorEastAsia"/>
          <w:szCs w:val="21"/>
          <w:highlight w:val="none"/>
        </w:rPr>
      </w:pPr>
      <w:r>
        <w:rPr>
          <w:rFonts w:hint="eastAsia" w:ascii="Times New Roman" w:hAnsi="Times New Roman" w:eastAsia="黑体"/>
          <w:b/>
          <w:bCs/>
          <w:kern w:val="0"/>
          <w:szCs w:val="21"/>
          <w:highlight w:val="none"/>
          <w:lang w:val="en-US" w:eastAsia="zh-CN"/>
        </w:rPr>
        <w:t>1</w:t>
      </w:r>
      <w:r>
        <w:rPr>
          <w:rFonts w:hint="eastAsia"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钻头搅拌下沉速度不宜大于1.0m/min，钻头喷浆搅拌提升速度不宜大于0.5m/min，钻头每一圈的</w:t>
      </w:r>
      <w:r>
        <w:rPr>
          <w:rFonts w:hint="eastAsia" w:ascii="Times New Roman" w:hAnsi="Times New Roman" w:eastAsiaTheme="minorEastAsia"/>
          <w:szCs w:val="21"/>
          <w:highlight w:val="none"/>
          <w:lang w:val="en-US" w:eastAsia="zh-CN"/>
        </w:rPr>
        <w:t>下沉</w:t>
      </w:r>
      <w:r>
        <w:rPr>
          <w:rFonts w:hint="default" w:ascii="Times New Roman" w:hAnsi="Times New Roman" w:eastAsiaTheme="minorEastAsia"/>
          <w:szCs w:val="21"/>
          <w:highlight w:val="none"/>
        </w:rPr>
        <w:t>（或</w:t>
      </w:r>
      <w:r>
        <w:rPr>
          <w:rFonts w:hint="eastAsia" w:ascii="Times New Roman" w:hAnsi="Times New Roman" w:eastAsiaTheme="minorEastAsia"/>
          <w:szCs w:val="21"/>
          <w:highlight w:val="none"/>
          <w:lang w:val="en-US" w:eastAsia="zh-CN"/>
        </w:rPr>
        <w:t>提升</w:t>
      </w:r>
      <w:r>
        <w:rPr>
          <w:rFonts w:hint="default" w:ascii="Times New Roman" w:hAnsi="Times New Roman" w:eastAsiaTheme="minorEastAsia"/>
          <w:szCs w:val="21"/>
          <w:highlight w:val="none"/>
        </w:rPr>
        <w:t>）量宜为10mm~15mm；</w:t>
      </w:r>
    </w:p>
    <w:p w14:paraId="79BD89EF">
      <w:pPr>
        <w:keepNext w:val="0"/>
        <w:keepLines w:val="0"/>
        <w:pageBreakBefore w:val="0"/>
        <w:widowControl w:val="0"/>
        <w:kinsoku/>
        <w:wordWrap/>
        <w:overflowPunct/>
        <w:topLinePunct w:val="0"/>
        <w:autoSpaceDE/>
        <w:autoSpaceDN/>
        <w:bidi w:val="0"/>
        <w:adjustRightInd/>
        <w:snapToGrid/>
        <w:spacing w:line="312" w:lineRule="exact"/>
        <w:ind w:firstLine="422" w:firstLineChars="200"/>
        <w:textAlignment w:val="auto"/>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lang w:val="en-US" w:eastAsia="zh-CN"/>
        </w:rPr>
        <w:t>2</w:t>
      </w:r>
      <w:r>
        <w:rPr>
          <w:rFonts w:hint="eastAsia"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对于大功率、高转速设备，搅拌下钻和提升速度可根据设备性能、类似工程经验适当调整。</w:t>
      </w:r>
    </w:p>
    <w:p w14:paraId="17BABC89">
      <w:pPr>
        <w:spacing w:line="312" w:lineRule="exact"/>
        <w:rPr>
          <w:rFonts w:ascii="Times New Roman" w:hAnsi="Times New Roman"/>
          <w:szCs w:val="21"/>
          <w:highlight w:val="none"/>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ascii="Times New Roman" w:hAnsi="Times New Roman"/>
          <w:szCs w:val="21"/>
          <w:highlight w:val="none"/>
        </w:rPr>
        <w:t xml:space="preserve"> </w:t>
      </w:r>
      <w:r>
        <w:rPr>
          <w:rFonts w:hint="eastAsia" w:ascii="Times New Roman" w:hAnsi="Times New Roman"/>
          <w:szCs w:val="21"/>
          <w:highlight w:val="none"/>
          <w:lang w:val="en-US" w:eastAsia="zh-CN"/>
        </w:rPr>
        <w:t>搅拌植桩施工时，间隔时间宜符合下列规定：</w:t>
      </w:r>
    </w:p>
    <w:p w14:paraId="303D40E8">
      <w:pPr>
        <w:keepNext w:val="0"/>
        <w:keepLines w:val="0"/>
        <w:pageBreakBefore w:val="0"/>
        <w:widowControl w:val="0"/>
        <w:kinsoku/>
        <w:wordWrap/>
        <w:overflowPunct/>
        <w:topLinePunct w:val="0"/>
        <w:autoSpaceDE/>
        <w:autoSpaceDN/>
        <w:bidi w:val="0"/>
        <w:adjustRightInd/>
        <w:snapToGrid/>
        <w:spacing w:line="312" w:lineRule="exact"/>
        <w:ind w:firstLine="422" w:firstLineChars="200"/>
        <w:textAlignment w:val="auto"/>
        <w:rPr>
          <w:rFonts w:hint="default" w:ascii="Times New Roman" w:hAnsi="Times New Roman" w:eastAsiaTheme="minorEastAsia"/>
          <w:szCs w:val="21"/>
          <w:highlight w:val="none"/>
        </w:rPr>
      </w:pPr>
      <w:r>
        <w:rPr>
          <w:rFonts w:hint="eastAsia" w:ascii="Times New Roman" w:hAnsi="Times New Roman" w:eastAsia="黑体"/>
          <w:b/>
          <w:bCs/>
          <w:kern w:val="0"/>
          <w:szCs w:val="21"/>
          <w:highlight w:val="none"/>
          <w:lang w:val="en-US" w:eastAsia="zh-CN"/>
        </w:rPr>
        <w:t>1</w:t>
      </w:r>
      <w:r>
        <w:rPr>
          <w:rFonts w:hint="eastAsia"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施工时因故停浆，宜将钻机下沉至停浆点以下0.5 m，待恢复供浆时再喷浆提升。若停机超过3小时，为防止浆液硬结堵管，</w:t>
      </w:r>
      <w:r>
        <w:rPr>
          <w:rFonts w:hint="eastAsia" w:ascii="Times New Roman" w:hAnsi="Times New Roman" w:eastAsiaTheme="minorEastAsia"/>
          <w:szCs w:val="21"/>
          <w:highlight w:val="none"/>
          <w:lang w:val="en-US" w:eastAsia="zh-CN"/>
        </w:rPr>
        <w:t>宜</w:t>
      </w:r>
      <w:r>
        <w:rPr>
          <w:rFonts w:hint="default" w:ascii="Times New Roman" w:hAnsi="Times New Roman" w:eastAsiaTheme="minorEastAsia"/>
          <w:szCs w:val="21"/>
          <w:highlight w:val="none"/>
        </w:rPr>
        <w:t>先拆卸输浆管路，并进行清洗；</w:t>
      </w:r>
    </w:p>
    <w:p w14:paraId="1971AA91">
      <w:pPr>
        <w:keepNext w:val="0"/>
        <w:keepLines w:val="0"/>
        <w:pageBreakBefore w:val="0"/>
        <w:widowControl w:val="0"/>
        <w:kinsoku/>
        <w:wordWrap/>
        <w:overflowPunct/>
        <w:topLinePunct w:val="0"/>
        <w:autoSpaceDE/>
        <w:autoSpaceDN/>
        <w:bidi w:val="0"/>
        <w:adjustRightInd/>
        <w:snapToGrid/>
        <w:spacing w:line="312" w:lineRule="exact"/>
        <w:ind w:firstLine="422" w:firstLineChars="200"/>
        <w:textAlignment w:val="auto"/>
        <w:rPr>
          <w:rFonts w:hint="default" w:ascii="Times New Roman" w:hAnsi="Times New Roman" w:eastAsiaTheme="minorEastAsia"/>
          <w:szCs w:val="21"/>
          <w:highlight w:val="none"/>
        </w:rPr>
      </w:pPr>
      <w:r>
        <w:rPr>
          <w:rFonts w:hint="eastAsia" w:ascii="Times New Roman" w:hAnsi="Times New Roman" w:eastAsia="黑体"/>
          <w:b/>
          <w:bCs/>
          <w:kern w:val="0"/>
          <w:szCs w:val="21"/>
          <w:highlight w:val="none"/>
          <w:lang w:val="en-US" w:eastAsia="zh-CN"/>
        </w:rPr>
        <w:t>2</w:t>
      </w:r>
      <w:r>
        <w:rPr>
          <w:rFonts w:hint="eastAsia"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搅拌植桩施工需保证连续性，对于</w:t>
      </w:r>
      <w:r>
        <w:rPr>
          <w:rFonts w:hint="eastAsia" w:ascii="Times New Roman" w:hAnsi="Times New Roman" w:eastAsiaTheme="minorEastAsia"/>
          <w:szCs w:val="21"/>
          <w:highlight w:val="none"/>
          <w:lang w:val="en-US" w:eastAsia="zh-CN"/>
        </w:rPr>
        <w:t>超过初凝时间</w:t>
      </w:r>
      <w:r>
        <w:rPr>
          <w:rFonts w:hint="default" w:ascii="Times New Roman" w:hAnsi="Times New Roman" w:eastAsiaTheme="minorEastAsia"/>
          <w:szCs w:val="21"/>
          <w:highlight w:val="none"/>
        </w:rPr>
        <w:t>未植入芯桩的</w:t>
      </w:r>
      <w:r>
        <w:rPr>
          <w:rFonts w:hint="eastAsia" w:ascii="Times New Roman" w:hAnsi="Times New Roman" w:eastAsiaTheme="minorEastAsia"/>
          <w:szCs w:val="21"/>
          <w:highlight w:val="none"/>
          <w:lang w:eastAsia="zh-CN"/>
        </w:rPr>
        <w:t>水泥土或固化土</w:t>
      </w:r>
      <w:r>
        <w:rPr>
          <w:rFonts w:hint="default" w:ascii="Times New Roman" w:hAnsi="Times New Roman" w:eastAsiaTheme="minorEastAsia"/>
          <w:szCs w:val="21"/>
          <w:highlight w:val="none"/>
        </w:rPr>
        <w:t>桩，应进行复搅后方可植入芯桩。</w:t>
      </w:r>
    </w:p>
    <w:p w14:paraId="1AB4DFA2">
      <w:pPr>
        <w:pStyle w:val="3"/>
        <w:spacing w:before="312" w:after="312"/>
        <w:rPr>
          <w:rFonts w:hint="default" w:ascii="Times New Roman" w:hAnsi="Times New Roman" w:cs="Times New Roman"/>
          <w:highlight w:val="none"/>
          <w:lang w:val="en-US"/>
        </w:rPr>
      </w:pPr>
      <w:bookmarkStart w:id="102" w:name="_Toc28033"/>
      <w:bookmarkStart w:id="103" w:name="_Toc23745"/>
      <w:r>
        <w:rPr>
          <w:rFonts w:hint="default" w:ascii="Times New Roman" w:hAnsi="Times New Roman" w:cs="Times New Roman"/>
          <w:b/>
          <w:bCs w:val="0"/>
          <w:highlight w:val="none"/>
        </w:rPr>
        <w:t>5.</w:t>
      </w:r>
      <w:r>
        <w:rPr>
          <w:rFonts w:hint="eastAsia" w:ascii="Times New Roman" w:hAnsi="Times New Roman" w:cs="Times New Roman"/>
          <w:b/>
          <w:bCs w:val="0"/>
          <w:highlight w:val="none"/>
          <w:lang w:val="en-US" w:eastAsia="zh-CN"/>
        </w:rPr>
        <w:t>5</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高压旋喷</w:t>
      </w:r>
      <w:bookmarkEnd w:id="102"/>
      <w:r>
        <w:rPr>
          <w:rFonts w:hint="default" w:ascii="Times New Roman" w:hAnsi="Times New Roman" w:cs="Times New Roman"/>
          <w:highlight w:val="none"/>
          <w:lang w:val="en-US" w:eastAsia="zh-CN"/>
        </w:rPr>
        <w:t>工艺</w:t>
      </w:r>
      <w:bookmarkEnd w:id="103"/>
    </w:p>
    <w:p w14:paraId="671F737A">
      <w:pPr>
        <w:spacing w:line="312" w:lineRule="exact"/>
        <w:ind w:firstLine="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5</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1</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高压</w:t>
      </w:r>
      <w:r>
        <w:rPr>
          <w:rFonts w:hint="default" w:ascii="Times New Roman" w:hAnsi="Times New Roman" w:eastAsiaTheme="minorEastAsia"/>
          <w:szCs w:val="21"/>
          <w:highlight w:val="none"/>
        </w:rPr>
        <w:t>旋喷施工工序</w:t>
      </w:r>
      <w:r>
        <w:rPr>
          <w:rFonts w:hint="eastAsia" w:ascii="Times New Roman" w:hAnsi="Times New Roman" w:eastAsiaTheme="minorEastAsia"/>
          <w:szCs w:val="21"/>
          <w:highlight w:val="none"/>
          <w:lang w:val="en-US" w:eastAsia="zh-CN"/>
        </w:rPr>
        <w:t>包括</w:t>
      </w:r>
      <w:r>
        <w:rPr>
          <w:rFonts w:hint="default" w:ascii="Times New Roman" w:hAnsi="Times New Roman" w:eastAsiaTheme="minorEastAsia"/>
          <w:szCs w:val="21"/>
          <w:highlight w:val="none"/>
        </w:rPr>
        <w:t>机具就位、贯入喷射管、喷射注浆、拔管和冲洗</w:t>
      </w:r>
      <w:r>
        <w:rPr>
          <w:rFonts w:hint="eastAsia" w:ascii="Times New Roman" w:hAnsi="Times New Roman" w:eastAsiaTheme="minorEastAsia"/>
          <w:szCs w:val="21"/>
          <w:highlight w:val="none"/>
          <w:lang w:eastAsia="zh-CN"/>
        </w:rPr>
        <w:t>。</w:t>
      </w:r>
    </w:p>
    <w:p w14:paraId="34CA7531">
      <w:pPr>
        <w:spacing w:line="312" w:lineRule="exact"/>
        <w:rPr>
          <w:rFonts w:hint="default" w:ascii="Times New Roman" w:hAnsi="Times New Roman" w:eastAsia="宋体"/>
          <w:szCs w:val="21"/>
          <w:highlight w:val="none"/>
          <w:lang w:val="en-US" w:eastAsia="zh-CN"/>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2</w:t>
      </w:r>
      <w:r>
        <w:rPr>
          <w:rFonts w:ascii="Times New Roman" w:hAnsi="Times New Roman"/>
          <w:szCs w:val="21"/>
          <w:highlight w:val="none"/>
        </w:rPr>
        <w:t xml:space="preserve"> </w:t>
      </w:r>
      <w:r>
        <w:rPr>
          <w:rFonts w:hint="eastAsia" w:ascii="Times New Roman" w:hAnsi="Times New Roman"/>
          <w:szCs w:val="21"/>
          <w:highlight w:val="none"/>
          <w:lang w:val="en-US" w:eastAsia="zh-CN"/>
        </w:rPr>
        <w:t>高压旋喷植桩施工时，喷浆</w:t>
      </w:r>
      <w:r>
        <w:rPr>
          <w:rFonts w:hint="default" w:ascii="Times New Roman" w:hAnsi="Times New Roman" w:eastAsiaTheme="minorEastAsia"/>
          <w:szCs w:val="21"/>
          <w:highlight w:val="none"/>
        </w:rPr>
        <w:t>符合下列规定：</w:t>
      </w:r>
    </w:p>
    <w:p w14:paraId="2D2C010C">
      <w:pPr>
        <w:spacing w:line="312" w:lineRule="exact"/>
        <w:ind w:firstLine="420"/>
        <w:rPr>
          <w:rFonts w:hint="eastAsia" w:ascii="Times New Roman" w:hAnsi="Times New Roman" w:eastAsiaTheme="minorEastAsia"/>
          <w:szCs w:val="21"/>
          <w:highlight w:val="none"/>
          <w:lang w:eastAsia="zh-CN"/>
        </w:rPr>
      </w:pPr>
      <w:r>
        <w:rPr>
          <w:rFonts w:hint="eastAsia" w:ascii="Times New Roman" w:hAnsi="Times New Roman" w:eastAsiaTheme="minorEastAsia"/>
          <w:szCs w:val="21"/>
          <w:highlight w:val="none"/>
          <w:lang w:val="en-US" w:eastAsia="zh-CN"/>
        </w:rPr>
        <w:t xml:space="preserve">1 </w:t>
      </w:r>
      <w:r>
        <w:rPr>
          <w:rFonts w:hint="default" w:ascii="Times New Roman" w:hAnsi="Times New Roman" w:eastAsiaTheme="minorEastAsia"/>
          <w:szCs w:val="21"/>
          <w:highlight w:val="none"/>
        </w:rPr>
        <w:t>当喷射注浆管贯入土中，喷嘴达到设计标高时，即可喷射注浆。在喷射注浆参数达到规定值后，随即提升喷射管，由下而上旋转喷射注浆。提升速度宜为0</w:t>
      </w:r>
      <w:r>
        <w:rPr>
          <w:rFonts w:hint="eastAsia" w:ascii="Times New Roman" w:hAnsi="Times New Roman" w:eastAsiaTheme="minorEastAsia"/>
          <w:szCs w:val="21"/>
          <w:highlight w:val="none"/>
          <w:lang w:val="en-US" w:eastAsia="zh-CN"/>
        </w:rPr>
        <w:t>.</w:t>
      </w:r>
      <w:r>
        <w:rPr>
          <w:rFonts w:hint="default" w:ascii="Times New Roman" w:hAnsi="Times New Roman" w:eastAsiaTheme="minorEastAsia"/>
          <w:szCs w:val="21"/>
          <w:highlight w:val="none"/>
        </w:rPr>
        <w:t>1m/min～0</w:t>
      </w:r>
      <w:r>
        <w:rPr>
          <w:rFonts w:hint="eastAsia" w:ascii="Times New Roman" w:hAnsi="Times New Roman" w:eastAsiaTheme="minorEastAsia"/>
          <w:szCs w:val="21"/>
          <w:highlight w:val="none"/>
          <w:lang w:val="en-US" w:eastAsia="zh-CN"/>
        </w:rPr>
        <w:t>.</w:t>
      </w:r>
      <w:r>
        <w:rPr>
          <w:rFonts w:hint="default" w:ascii="Times New Roman" w:hAnsi="Times New Roman" w:eastAsiaTheme="minorEastAsia"/>
          <w:szCs w:val="21"/>
          <w:highlight w:val="none"/>
        </w:rPr>
        <w:t>2m/min</w:t>
      </w:r>
      <w:r>
        <w:rPr>
          <w:rFonts w:hint="eastAsia" w:ascii="Times New Roman" w:hAnsi="Times New Roman" w:eastAsiaTheme="minorEastAsia"/>
          <w:szCs w:val="21"/>
          <w:highlight w:val="none"/>
          <w:lang w:eastAsia="zh-CN"/>
        </w:rPr>
        <w:t>；</w:t>
      </w:r>
    </w:p>
    <w:p w14:paraId="08B3AD13">
      <w:pPr>
        <w:spacing w:line="312" w:lineRule="exact"/>
        <w:ind w:firstLine="420"/>
        <w:rPr>
          <w:rFonts w:hint="default" w:ascii="Times New Roman" w:hAnsi="Times New Roman" w:eastAsiaTheme="minorEastAsia"/>
          <w:szCs w:val="21"/>
          <w:highlight w:val="none"/>
        </w:rPr>
      </w:pPr>
      <w:r>
        <w:rPr>
          <w:rFonts w:hint="eastAsia" w:ascii="Times New Roman" w:hAnsi="Times New Roman" w:eastAsia="黑体"/>
          <w:b/>
          <w:bCs/>
          <w:kern w:val="0"/>
          <w:szCs w:val="21"/>
          <w:highlight w:val="none"/>
          <w:lang w:val="en-US" w:eastAsia="zh-CN"/>
        </w:rPr>
        <w:t xml:space="preserve">2 </w:t>
      </w:r>
      <w:r>
        <w:rPr>
          <w:rFonts w:hint="default" w:ascii="Times New Roman" w:hAnsi="Times New Roman" w:eastAsiaTheme="minorEastAsia"/>
          <w:szCs w:val="21"/>
          <w:highlight w:val="none"/>
        </w:rPr>
        <w:t>单管法、双管法高压水泥浆和三管法高压水的压力应大于20MPa，流量应大于30L/min</w:t>
      </w:r>
      <w:r>
        <w:rPr>
          <w:rFonts w:hint="eastAsia" w:ascii="Times New Roman" w:hAnsi="Times New Roman" w:eastAsiaTheme="minorEastAsia"/>
          <w:szCs w:val="21"/>
          <w:highlight w:val="none"/>
          <w:lang w:eastAsia="zh-CN"/>
        </w:rPr>
        <w:t>；</w:t>
      </w:r>
    </w:p>
    <w:p w14:paraId="558809B9">
      <w:pPr>
        <w:spacing w:line="312" w:lineRule="exact"/>
        <w:ind w:firstLine="420"/>
        <w:rPr>
          <w:rFonts w:hint="eastAsia" w:ascii="Times New Roman" w:hAnsi="Times New Roman" w:eastAsiaTheme="minorEastAsia"/>
          <w:szCs w:val="21"/>
          <w:highlight w:val="none"/>
          <w:lang w:eastAsia="zh-CN"/>
        </w:rPr>
      </w:pPr>
      <w:r>
        <w:rPr>
          <w:rFonts w:hint="eastAsia" w:ascii="Times New Roman" w:hAnsi="Times New Roman" w:eastAsiaTheme="minorEastAsia"/>
          <w:szCs w:val="21"/>
          <w:highlight w:val="none"/>
          <w:lang w:val="en-US" w:eastAsia="zh-CN"/>
        </w:rPr>
        <w:t xml:space="preserve">3 </w:t>
      </w:r>
      <w:r>
        <w:rPr>
          <w:rFonts w:hint="default" w:ascii="Times New Roman" w:hAnsi="Times New Roman" w:eastAsiaTheme="minorEastAsia"/>
          <w:szCs w:val="21"/>
          <w:highlight w:val="none"/>
        </w:rPr>
        <w:t>双管法</w:t>
      </w:r>
      <w:r>
        <w:rPr>
          <w:rFonts w:hint="eastAsia" w:ascii="Times New Roman" w:hAnsi="Times New Roman" w:eastAsiaTheme="minorEastAsia"/>
          <w:szCs w:val="21"/>
          <w:highlight w:val="none"/>
          <w:lang w:val="en-US" w:eastAsia="zh-CN"/>
        </w:rPr>
        <w:t>和三管法的</w:t>
      </w:r>
      <w:r>
        <w:rPr>
          <w:rFonts w:hint="default" w:ascii="Times New Roman" w:hAnsi="Times New Roman" w:eastAsiaTheme="minorEastAsia"/>
          <w:szCs w:val="21"/>
          <w:highlight w:val="none"/>
        </w:rPr>
        <w:t>气流压力宜大于0</w:t>
      </w:r>
      <w:r>
        <w:rPr>
          <w:rFonts w:hint="eastAsia" w:ascii="Times New Roman" w:hAnsi="Times New Roman" w:eastAsiaTheme="minorEastAsia"/>
          <w:szCs w:val="21"/>
          <w:highlight w:val="none"/>
          <w:lang w:val="en-US" w:eastAsia="zh-CN"/>
        </w:rPr>
        <w:t>.</w:t>
      </w:r>
      <w:r>
        <w:rPr>
          <w:rFonts w:hint="default" w:ascii="Times New Roman" w:hAnsi="Times New Roman" w:eastAsiaTheme="minorEastAsia"/>
          <w:szCs w:val="21"/>
          <w:highlight w:val="none"/>
        </w:rPr>
        <w:t>7MPa</w:t>
      </w:r>
      <w:r>
        <w:rPr>
          <w:rFonts w:hint="eastAsia" w:ascii="Times New Roman" w:hAnsi="Times New Roman" w:eastAsiaTheme="minorEastAsia"/>
          <w:szCs w:val="21"/>
          <w:highlight w:val="none"/>
          <w:lang w:eastAsia="zh-CN"/>
        </w:rPr>
        <w:t>；</w:t>
      </w:r>
    </w:p>
    <w:p w14:paraId="4B43C54E">
      <w:pPr>
        <w:spacing w:line="312" w:lineRule="exact"/>
        <w:ind w:firstLine="42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 xml:space="preserve">4 </w:t>
      </w:r>
      <w:r>
        <w:rPr>
          <w:rFonts w:hint="eastAsia" w:ascii="Times New Roman" w:hAnsi="Times New Roman" w:eastAsiaTheme="minorEastAsia"/>
          <w:szCs w:val="21"/>
          <w:highlight w:val="none"/>
          <w:lang w:val="en-US" w:eastAsia="zh-CN"/>
        </w:rPr>
        <w:t>高压</w:t>
      </w:r>
      <w:r>
        <w:rPr>
          <w:rFonts w:hint="default" w:ascii="Times New Roman" w:hAnsi="Times New Roman" w:eastAsiaTheme="minorEastAsia"/>
          <w:szCs w:val="21"/>
          <w:highlight w:val="none"/>
        </w:rPr>
        <w:t>旋喷注浆可根据需要加入适量的外加剂及</w:t>
      </w:r>
      <w:r>
        <w:rPr>
          <w:rFonts w:hint="eastAsia" w:ascii="Times New Roman" w:hAnsi="Times New Roman" w:eastAsiaTheme="minorEastAsia"/>
          <w:szCs w:val="21"/>
          <w:highlight w:val="none"/>
          <w:lang w:val="en-US" w:eastAsia="zh-CN"/>
        </w:rPr>
        <w:t>矿物</w:t>
      </w:r>
      <w:r>
        <w:rPr>
          <w:rFonts w:hint="default" w:ascii="Times New Roman" w:hAnsi="Times New Roman" w:eastAsiaTheme="minorEastAsia"/>
          <w:szCs w:val="21"/>
          <w:highlight w:val="none"/>
        </w:rPr>
        <w:t>掺合料</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外加剂和</w:t>
      </w:r>
      <w:r>
        <w:rPr>
          <w:rFonts w:hint="eastAsia" w:ascii="Times New Roman" w:hAnsi="Times New Roman" w:eastAsiaTheme="minorEastAsia"/>
          <w:szCs w:val="21"/>
          <w:highlight w:val="none"/>
          <w:lang w:val="en-US" w:eastAsia="zh-CN"/>
        </w:rPr>
        <w:t>矿物</w:t>
      </w:r>
      <w:r>
        <w:rPr>
          <w:rFonts w:hint="default" w:ascii="Times New Roman" w:hAnsi="Times New Roman" w:eastAsiaTheme="minorEastAsia"/>
          <w:szCs w:val="21"/>
          <w:highlight w:val="none"/>
        </w:rPr>
        <w:t>掺合料的用量，应通过试验确定</w:t>
      </w:r>
      <w:r>
        <w:rPr>
          <w:rFonts w:hint="eastAsia" w:ascii="Times New Roman" w:hAnsi="Times New Roman" w:eastAsiaTheme="minorEastAsia"/>
          <w:szCs w:val="21"/>
          <w:highlight w:val="none"/>
          <w:lang w:eastAsia="zh-CN"/>
        </w:rPr>
        <w:t>；</w:t>
      </w:r>
    </w:p>
    <w:p w14:paraId="1E374C7F">
      <w:pPr>
        <w:spacing w:line="312" w:lineRule="exact"/>
        <w:rPr>
          <w:rFonts w:hint="default" w:ascii="Times New Roman" w:hAnsi="Times New Roman" w:eastAsia="宋体"/>
          <w:szCs w:val="21"/>
          <w:highlight w:val="none"/>
          <w:lang w:val="en-US" w:eastAsia="zh-CN"/>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3</w:t>
      </w:r>
      <w:r>
        <w:rPr>
          <w:rFonts w:ascii="Times New Roman" w:hAnsi="Times New Roman"/>
          <w:szCs w:val="21"/>
          <w:highlight w:val="none"/>
        </w:rPr>
        <w:t xml:space="preserve"> </w:t>
      </w:r>
      <w:r>
        <w:rPr>
          <w:rFonts w:hint="eastAsia" w:ascii="Times New Roman" w:hAnsi="Times New Roman"/>
          <w:szCs w:val="21"/>
          <w:highlight w:val="none"/>
          <w:lang w:val="en-US" w:eastAsia="zh-CN"/>
        </w:rPr>
        <w:t>高压旋喷植桩施工时，分段搭接</w:t>
      </w:r>
      <w:r>
        <w:rPr>
          <w:rFonts w:hint="eastAsia" w:ascii="Times New Roman" w:hAnsi="Times New Roman" w:eastAsiaTheme="minorEastAsia"/>
          <w:szCs w:val="21"/>
          <w:highlight w:val="none"/>
          <w:lang w:val="en-US" w:eastAsia="zh-CN"/>
        </w:rPr>
        <w:t>宜</w:t>
      </w:r>
      <w:r>
        <w:rPr>
          <w:rFonts w:hint="default" w:ascii="Times New Roman" w:hAnsi="Times New Roman" w:eastAsiaTheme="minorEastAsia"/>
          <w:szCs w:val="21"/>
          <w:highlight w:val="none"/>
        </w:rPr>
        <w:t>符合下列规定：</w:t>
      </w:r>
    </w:p>
    <w:p w14:paraId="601A442B">
      <w:pPr>
        <w:spacing w:line="312" w:lineRule="exact"/>
        <w:rPr>
          <w:rFonts w:hint="eastAsia" w:ascii="Times New Roman" w:hAnsi="Times New Roman" w:eastAsiaTheme="minorEastAsia"/>
          <w:szCs w:val="21"/>
          <w:highlight w:val="none"/>
          <w:lang w:eastAsia="zh-CN"/>
        </w:rPr>
      </w:pPr>
      <w:r>
        <w:rPr>
          <w:rFonts w:hint="default" w:ascii="Times New Roman" w:hAnsi="Times New Roman" w:eastAsiaTheme="minorEastAsia"/>
          <w:szCs w:val="21"/>
          <w:highlight w:val="none"/>
        </w:rPr>
        <w:t xml:space="preserve">    </w:t>
      </w:r>
      <w:r>
        <w:rPr>
          <w:rFonts w:hint="eastAsia" w:ascii="Times New Roman" w:hAnsi="Times New Roman" w:eastAsia="黑体"/>
          <w:b/>
          <w:bCs/>
          <w:kern w:val="0"/>
          <w:szCs w:val="21"/>
          <w:highlight w:val="none"/>
          <w:lang w:val="en-US" w:eastAsia="zh-CN"/>
        </w:rPr>
        <w:t xml:space="preserve">1 </w:t>
      </w:r>
      <w:r>
        <w:rPr>
          <w:rFonts w:hint="default" w:ascii="Times New Roman" w:hAnsi="Times New Roman" w:eastAsiaTheme="minorEastAsia"/>
          <w:szCs w:val="21"/>
          <w:highlight w:val="none"/>
        </w:rPr>
        <w:t>喷射管分段提升的搭接长度不得小于100mm</w:t>
      </w:r>
      <w:r>
        <w:rPr>
          <w:rFonts w:hint="eastAsia" w:ascii="Times New Roman" w:hAnsi="Times New Roman" w:eastAsiaTheme="minorEastAsia"/>
          <w:szCs w:val="21"/>
          <w:highlight w:val="none"/>
          <w:lang w:eastAsia="zh-CN"/>
        </w:rPr>
        <w:t>；</w:t>
      </w:r>
    </w:p>
    <w:p w14:paraId="755A02F7">
      <w:pPr>
        <w:spacing w:line="312" w:lineRule="exact"/>
        <w:ind w:firstLine="42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 xml:space="preserve">2 </w:t>
      </w:r>
      <w:r>
        <w:rPr>
          <w:rFonts w:hint="default" w:ascii="Times New Roman" w:hAnsi="Times New Roman" w:eastAsiaTheme="minorEastAsia"/>
          <w:szCs w:val="21"/>
          <w:highlight w:val="none"/>
        </w:rPr>
        <w:t>对</w:t>
      </w:r>
      <w:r>
        <w:rPr>
          <w:rFonts w:hint="eastAsia" w:ascii="Times New Roman" w:hAnsi="Times New Roman" w:eastAsiaTheme="minorEastAsia"/>
          <w:szCs w:val="21"/>
          <w:highlight w:val="none"/>
          <w:lang w:val="en-US" w:eastAsia="zh-CN"/>
        </w:rPr>
        <w:t>桩底和需要</w:t>
      </w:r>
      <w:r>
        <w:rPr>
          <w:rFonts w:hint="default" w:ascii="Times New Roman" w:hAnsi="Times New Roman" w:eastAsiaTheme="minorEastAsia"/>
          <w:szCs w:val="21"/>
          <w:highlight w:val="none"/>
        </w:rPr>
        <w:t>提高强度的部位，可采用复喷措施</w:t>
      </w:r>
      <w:r>
        <w:rPr>
          <w:rFonts w:hint="eastAsia" w:ascii="Times New Roman" w:hAnsi="Times New Roman" w:eastAsiaTheme="minorEastAsia"/>
          <w:szCs w:val="21"/>
          <w:highlight w:val="none"/>
          <w:lang w:eastAsia="zh-CN"/>
        </w:rPr>
        <w:t>；</w:t>
      </w:r>
    </w:p>
    <w:p w14:paraId="6D12595C">
      <w:pPr>
        <w:spacing w:line="312" w:lineRule="exact"/>
        <w:rPr>
          <w:rFonts w:hint="default" w:ascii="Times New Roman" w:hAnsi="Times New Roman" w:eastAsia="宋体"/>
          <w:szCs w:val="21"/>
          <w:highlight w:val="none"/>
          <w:lang w:val="en-US" w:eastAsia="zh-CN"/>
        </w:rPr>
      </w:pPr>
      <w:r>
        <w:rPr>
          <w:rFonts w:hint="default" w:ascii="Times New Roman" w:hAnsi="Times New Roman" w:eastAsia="黑体"/>
          <w:b/>
          <w:bCs/>
          <w:kern w:val="0"/>
          <w:szCs w:val="21"/>
          <w:highlight w:val="none"/>
        </w:rPr>
        <w:t>5</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ascii="Times New Roman" w:hAnsi="Times New Roman"/>
          <w:szCs w:val="21"/>
          <w:highlight w:val="none"/>
        </w:rPr>
        <w:t xml:space="preserve"> </w:t>
      </w:r>
      <w:r>
        <w:rPr>
          <w:rFonts w:hint="eastAsia" w:ascii="Times New Roman" w:hAnsi="Times New Roman"/>
          <w:szCs w:val="21"/>
          <w:highlight w:val="none"/>
          <w:lang w:val="en-US" w:eastAsia="zh-CN"/>
        </w:rPr>
        <w:t>高压旋喷植桩施工时，应</w:t>
      </w:r>
      <w:r>
        <w:rPr>
          <w:rFonts w:hint="eastAsia" w:ascii="Times New Roman" w:hAnsi="Times New Roman" w:eastAsiaTheme="minorEastAsia"/>
          <w:szCs w:val="21"/>
          <w:highlight w:val="none"/>
          <w:lang w:val="en-US" w:eastAsia="zh-CN"/>
        </w:rPr>
        <w:t>注意</w:t>
      </w:r>
      <w:r>
        <w:rPr>
          <w:rFonts w:hint="default" w:ascii="Times New Roman" w:hAnsi="Times New Roman" w:eastAsiaTheme="minorEastAsia"/>
          <w:szCs w:val="21"/>
          <w:highlight w:val="none"/>
        </w:rPr>
        <w:t>下列</w:t>
      </w:r>
      <w:r>
        <w:rPr>
          <w:rFonts w:hint="eastAsia" w:ascii="Times New Roman" w:hAnsi="Times New Roman" w:eastAsiaTheme="minorEastAsia"/>
          <w:szCs w:val="21"/>
          <w:highlight w:val="none"/>
          <w:lang w:val="en-US" w:eastAsia="zh-CN"/>
        </w:rPr>
        <w:t>问题</w:t>
      </w:r>
      <w:r>
        <w:rPr>
          <w:rFonts w:hint="default" w:ascii="Times New Roman" w:hAnsi="Times New Roman" w:eastAsiaTheme="minorEastAsia"/>
          <w:szCs w:val="21"/>
          <w:highlight w:val="none"/>
        </w:rPr>
        <w:t>：</w:t>
      </w:r>
    </w:p>
    <w:p w14:paraId="06E60DE2">
      <w:pPr>
        <w:spacing w:line="312" w:lineRule="exact"/>
        <w:ind w:firstLine="42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lang w:val="en-US" w:eastAsia="zh-CN"/>
        </w:rPr>
        <w:t>1</w:t>
      </w:r>
      <w:r>
        <w:rPr>
          <w:rFonts w:hint="eastAsia"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rPr>
        <w:t>喷射孔与高压注浆泵的距离不宜大于50m</w:t>
      </w:r>
      <w:r>
        <w:rPr>
          <w:rFonts w:hint="eastAsia" w:ascii="Times New Roman" w:hAnsi="Times New Roman" w:eastAsiaTheme="minorEastAsia"/>
          <w:szCs w:val="21"/>
          <w:highlight w:val="none"/>
          <w:lang w:eastAsia="zh-CN"/>
        </w:rPr>
        <w:t>；</w:t>
      </w:r>
    </w:p>
    <w:p w14:paraId="49FC3922">
      <w:pPr>
        <w:spacing w:line="312" w:lineRule="exact"/>
        <w:rPr>
          <w:rFonts w:hint="eastAsia" w:ascii="Times New Roman" w:hAnsi="Times New Roman" w:eastAsiaTheme="minorEastAsia"/>
          <w:szCs w:val="21"/>
          <w:highlight w:val="none"/>
          <w:lang w:eastAsia="zh-CN"/>
        </w:rPr>
      </w:pPr>
      <w:r>
        <w:rPr>
          <w:rFonts w:hint="default" w:ascii="Times New Roman" w:hAnsi="Times New Roman" w:eastAsiaTheme="minorEastAsia"/>
          <w:szCs w:val="21"/>
          <w:highlight w:val="none"/>
        </w:rPr>
        <w:t xml:space="preserve">    </w:t>
      </w:r>
      <w:r>
        <w:rPr>
          <w:rFonts w:hint="eastAsia" w:ascii="Times New Roman" w:hAnsi="Times New Roman" w:eastAsia="黑体"/>
          <w:b/>
          <w:bCs/>
          <w:kern w:val="0"/>
          <w:szCs w:val="21"/>
          <w:highlight w:val="none"/>
          <w:lang w:val="en-US" w:eastAsia="zh-CN"/>
        </w:rPr>
        <w:t xml:space="preserve">2 </w:t>
      </w:r>
      <w:r>
        <w:rPr>
          <w:rFonts w:hint="default" w:ascii="Times New Roman" w:hAnsi="Times New Roman" w:eastAsiaTheme="minorEastAsia"/>
          <w:szCs w:val="21"/>
          <w:highlight w:val="none"/>
        </w:rPr>
        <w:t>在旋喷注浆过程中出现压力骤然下降、上升或冒浆异常时，应查明原因并及时采取措施</w:t>
      </w:r>
      <w:r>
        <w:rPr>
          <w:rFonts w:hint="eastAsia" w:ascii="Times New Roman" w:hAnsi="Times New Roman" w:eastAsiaTheme="minorEastAsia"/>
          <w:szCs w:val="21"/>
          <w:highlight w:val="none"/>
          <w:lang w:eastAsia="zh-CN"/>
        </w:rPr>
        <w:t>；</w:t>
      </w:r>
    </w:p>
    <w:p w14:paraId="0361E668">
      <w:pPr>
        <w:spacing w:line="312" w:lineRule="exact"/>
        <w:rPr>
          <w:rFonts w:hint="default" w:ascii="Times New Roman" w:hAnsi="Times New Roman" w:eastAsiaTheme="minorEastAsia"/>
          <w:szCs w:val="21"/>
          <w:highlight w:val="none"/>
        </w:rPr>
      </w:pP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 xml:space="preserve">  </w:t>
      </w:r>
      <w:r>
        <w:rPr>
          <w:rFonts w:hint="eastAsia" w:ascii="Times New Roman" w:hAnsi="Times New Roman" w:eastAsia="黑体"/>
          <w:b/>
          <w:bCs/>
          <w:kern w:val="0"/>
          <w:szCs w:val="21"/>
          <w:highlight w:val="none"/>
          <w:lang w:val="en-US" w:eastAsia="zh-CN"/>
        </w:rPr>
        <w:t xml:space="preserve">3 </w:t>
      </w:r>
      <w:r>
        <w:rPr>
          <w:rFonts w:hint="default" w:ascii="Times New Roman" w:hAnsi="Times New Roman" w:eastAsiaTheme="minorEastAsia"/>
          <w:szCs w:val="21"/>
          <w:highlight w:val="none"/>
        </w:rPr>
        <w:t>施工中应严格按照施工参数和材料用量施工，用浆量和提升速度</w:t>
      </w:r>
      <w:r>
        <w:rPr>
          <w:rFonts w:hint="eastAsia" w:ascii="Times New Roman" w:hAnsi="Times New Roman" w:eastAsiaTheme="minorEastAsia"/>
          <w:szCs w:val="21"/>
          <w:highlight w:val="none"/>
          <w:lang w:val="en-US" w:eastAsia="zh-CN"/>
        </w:rPr>
        <w:t>宜</w:t>
      </w:r>
      <w:r>
        <w:rPr>
          <w:rFonts w:hint="default" w:ascii="Times New Roman" w:hAnsi="Times New Roman" w:eastAsiaTheme="minorEastAsia"/>
          <w:szCs w:val="21"/>
          <w:highlight w:val="none"/>
        </w:rPr>
        <w:t>采用自动记录装置，并做好各项施工记录。</w:t>
      </w:r>
    </w:p>
    <w:p w14:paraId="4DB0D6DF">
      <w:pPr>
        <w:pStyle w:val="3"/>
        <w:spacing w:before="312" w:after="312"/>
        <w:rPr>
          <w:rFonts w:hint="default" w:ascii="Times New Roman" w:hAnsi="Times New Roman" w:cs="Times New Roman"/>
          <w:highlight w:val="none"/>
          <w:lang w:val="en-US"/>
        </w:rPr>
      </w:pPr>
      <w:bookmarkStart w:id="104" w:name="_Toc24332"/>
      <w:bookmarkStart w:id="105" w:name="_Toc3662"/>
      <w:r>
        <w:rPr>
          <w:rFonts w:hint="default" w:ascii="Times New Roman" w:hAnsi="Times New Roman" w:cs="Times New Roman"/>
          <w:b/>
          <w:bCs w:val="0"/>
          <w:highlight w:val="none"/>
        </w:rPr>
        <w:t>5.</w:t>
      </w:r>
      <w:r>
        <w:rPr>
          <w:rFonts w:hint="eastAsia" w:ascii="Times New Roman" w:hAnsi="Times New Roman" w:cs="Times New Roman"/>
          <w:b/>
          <w:bCs w:val="0"/>
          <w:highlight w:val="none"/>
          <w:lang w:val="en-US" w:eastAsia="zh-CN"/>
        </w:rPr>
        <w:t>6</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旋挖</w:t>
      </w:r>
      <w:bookmarkEnd w:id="104"/>
      <w:r>
        <w:rPr>
          <w:rFonts w:hint="default" w:ascii="Times New Roman" w:hAnsi="Times New Roman" w:cs="Times New Roman"/>
          <w:highlight w:val="none"/>
          <w:lang w:val="en-US" w:eastAsia="zh-CN"/>
        </w:rPr>
        <w:t>工艺</w:t>
      </w:r>
      <w:bookmarkEnd w:id="105"/>
    </w:p>
    <w:p w14:paraId="35F7442F">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6</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1</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旋挖植桩施工时，</w:t>
      </w:r>
      <w:r>
        <w:rPr>
          <w:rFonts w:hint="default" w:ascii="Times New Roman" w:hAnsi="Times New Roman" w:eastAsiaTheme="minorEastAsia"/>
          <w:szCs w:val="21"/>
          <w:highlight w:val="none"/>
        </w:rPr>
        <w:t>护筒的埋设应符合下列规定：</w:t>
      </w:r>
    </w:p>
    <w:p w14:paraId="267B5ECB">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护筒直径</w:t>
      </w:r>
      <w:r>
        <w:rPr>
          <w:rFonts w:hint="eastAsia" w:ascii="Times New Roman" w:hAnsi="Times New Roman" w:eastAsiaTheme="minorEastAsia"/>
          <w:szCs w:val="21"/>
          <w:highlight w:val="none"/>
          <w:lang w:val="en-US" w:eastAsia="zh-CN"/>
        </w:rPr>
        <w:t>宜大于</w:t>
      </w:r>
      <w:r>
        <w:rPr>
          <w:rFonts w:hint="default" w:ascii="Times New Roman" w:hAnsi="Times New Roman" w:eastAsiaTheme="minorEastAsia"/>
          <w:szCs w:val="21"/>
          <w:highlight w:val="none"/>
        </w:rPr>
        <w:t>桩孔直径200mm</w:t>
      </w:r>
      <w:r>
        <w:rPr>
          <w:rFonts w:hint="eastAsia" w:ascii="Times New Roman" w:hAnsi="Times New Roman" w:eastAsiaTheme="minorEastAsia"/>
          <w:szCs w:val="21"/>
          <w:highlight w:val="none"/>
          <w:lang w:eastAsia="zh-CN"/>
        </w:rPr>
        <w:t>，</w:t>
      </w:r>
      <w:r>
        <w:rPr>
          <w:rFonts w:hint="eastAsia" w:ascii="Times New Roman" w:hAnsi="Times New Roman" w:eastAsiaTheme="minorEastAsia"/>
          <w:szCs w:val="21"/>
          <w:highlight w:val="none"/>
          <w:lang w:val="en-US" w:eastAsia="zh-CN"/>
        </w:rPr>
        <w:t>且中心应与桩中心重合</w:t>
      </w:r>
      <w:r>
        <w:rPr>
          <w:rFonts w:hint="default" w:ascii="Times New Roman" w:hAnsi="Times New Roman" w:eastAsiaTheme="minorEastAsia"/>
          <w:szCs w:val="21"/>
          <w:highlight w:val="none"/>
        </w:rPr>
        <w:t>；</w:t>
      </w:r>
    </w:p>
    <w:p w14:paraId="069C5BDD">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护筒埋深宜为1m~2m，顶端宜高出地面0.3m，护筒埋设的倾斜度应控制在</w:t>
      </w:r>
      <w:r>
        <w:rPr>
          <w:rFonts w:hint="eastAsia" w:ascii="Times New Roman" w:hAnsi="Times New Roman" w:eastAsiaTheme="minorEastAsia"/>
          <w:szCs w:val="21"/>
          <w:highlight w:val="none"/>
          <w:lang w:val="en-US" w:eastAsia="zh-CN"/>
        </w:rPr>
        <w:t>0.5</w:t>
      </w:r>
      <w:r>
        <w:rPr>
          <w:rFonts w:hint="default" w:ascii="Times New Roman" w:hAnsi="Times New Roman" w:eastAsiaTheme="minorEastAsia"/>
          <w:szCs w:val="21"/>
          <w:highlight w:val="none"/>
        </w:rPr>
        <w:t>%以内，</w:t>
      </w:r>
      <w:r>
        <w:rPr>
          <w:rFonts w:hint="eastAsia" w:ascii="Times New Roman" w:hAnsi="Times New Roman" w:eastAsiaTheme="minorEastAsia"/>
          <w:szCs w:val="21"/>
          <w:highlight w:val="none"/>
          <w:lang w:val="en-US" w:eastAsia="zh-CN"/>
        </w:rPr>
        <w:t>水平</w:t>
      </w:r>
      <w:r>
        <w:rPr>
          <w:rFonts w:hint="default" w:ascii="Times New Roman" w:hAnsi="Times New Roman" w:eastAsiaTheme="minorEastAsia"/>
          <w:szCs w:val="21"/>
          <w:highlight w:val="none"/>
        </w:rPr>
        <w:t>偏差不宜超过30mm且四周采用黏土回填，分层夯实；</w:t>
      </w:r>
    </w:p>
    <w:p w14:paraId="74EB1BE4">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lang w:val="en-US" w:eastAsia="zh-CN"/>
        </w:rPr>
        <w:t>3</w:t>
      </w:r>
      <w:r>
        <w:rPr>
          <w:rFonts w:hint="default" w:ascii="Times New Roman" w:hAnsi="Times New Roman" w:eastAsiaTheme="minorEastAsia"/>
          <w:szCs w:val="21"/>
          <w:highlight w:val="none"/>
        </w:rPr>
        <w:t xml:space="preserve"> 护筒埋设后，由测量人员和监理人员进行复测、校正桩位与护筒中心偏差。</w:t>
      </w:r>
    </w:p>
    <w:p w14:paraId="739D5486">
      <w:pPr>
        <w:spacing w:line="312" w:lineRule="exact"/>
        <w:rPr>
          <w:rFonts w:hint="default" w:ascii="Times New Roman" w:hAnsi="Times New Roman" w:eastAsiaTheme="minorEastAsia"/>
          <w:color w:val="0000FF"/>
          <w:szCs w:val="21"/>
          <w:highlight w:val="none"/>
          <w:lang w:eastAsia="zh-CN"/>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6</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旋挖植桩施工时，</w:t>
      </w:r>
      <w:r>
        <w:rPr>
          <w:rFonts w:hint="default" w:ascii="Times New Roman" w:hAnsi="Times New Roman" w:eastAsiaTheme="minorEastAsia"/>
          <w:szCs w:val="21"/>
          <w:highlight w:val="none"/>
        </w:rPr>
        <w:t>旋挖机的就位应符合下列规定：</w:t>
      </w:r>
    </w:p>
    <w:p w14:paraId="47E6AFC2">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在桩位复核正确，护筒埋设符合要求，护筒、地坪标高已测定的基础上，钻机方可就位</w:t>
      </w:r>
      <w:r>
        <w:rPr>
          <w:rFonts w:hint="eastAsia" w:ascii="Times New Roman" w:hAnsi="Times New Roman" w:eastAsiaTheme="minorEastAsia"/>
          <w:szCs w:val="21"/>
          <w:highlight w:val="none"/>
          <w:lang w:eastAsia="zh-CN"/>
        </w:rPr>
        <w:t>；</w:t>
      </w:r>
    </w:p>
    <w:p w14:paraId="491632DC">
      <w:pPr>
        <w:spacing w:line="312" w:lineRule="exact"/>
        <w:ind w:firstLine="422" w:firstLineChars="200"/>
        <w:rPr>
          <w:rFonts w:hint="default" w:ascii="Times New Roman" w:hAnsi="Times New Roman" w:eastAsiaTheme="minorEastAsia"/>
          <w:szCs w:val="21"/>
          <w:highlight w:val="yellow"/>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旋挖钻机就位后，钻尖对准桩位中心</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桩机定位应准确、水平、垂直、稳固，钻机导杆中心线、回旋盘中心线、护筒中心线应保持在同一直线。</w:t>
      </w:r>
    </w:p>
    <w:p w14:paraId="673DDDAE">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6</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3</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旋挖植桩施工时，</w:t>
      </w:r>
      <w:r>
        <w:rPr>
          <w:rFonts w:hint="eastAsia" w:ascii="Times New Roman" w:hAnsi="Times New Roman" w:eastAsiaTheme="minorEastAsia"/>
          <w:szCs w:val="21"/>
          <w:highlight w:val="none"/>
          <w:lang w:val="en-US" w:eastAsia="zh-CN"/>
        </w:rPr>
        <w:t>泥浆护壁</w:t>
      </w:r>
      <w:r>
        <w:rPr>
          <w:rFonts w:hint="default" w:ascii="Times New Roman" w:hAnsi="Times New Roman" w:eastAsiaTheme="minorEastAsia"/>
          <w:szCs w:val="21"/>
          <w:highlight w:val="none"/>
        </w:rPr>
        <w:t>应符合下列规定：</w:t>
      </w:r>
    </w:p>
    <w:p w14:paraId="5125B725">
      <w:pPr>
        <w:spacing w:line="312" w:lineRule="exact"/>
        <w:ind w:firstLine="422" w:firstLineChars="200"/>
        <w:rPr>
          <w:rFonts w:hint="default" w:ascii="Times New Roman" w:hAnsi="Times New Roman" w:eastAsiaTheme="minorEastAsia"/>
          <w:szCs w:val="21"/>
          <w:highlight w:val="none"/>
        </w:rPr>
      </w:pPr>
      <w:r>
        <w:rPr>
          <w:rFonts w:hint="eastAsia" w:ascii="Times New Roman" w:hAnsi="Times New Roman" w:eastAsiaTheme="minorEastAsia"/>
          <w:b/>
          <w:bCs/>
          <w:szCs w:val="21"/>
          <w:highlight w:val="none"/>
          <w:lang w:val="en-US" w:eastAsia="zh-CN"/>
        </w:rPr>
        <w:t>1</w:t>
      </w:r>
      <w:r>
        <w:rPr>
          <w:rFonts w:hint="default" w:ascii="Times New Roman" w:hAnsi="Times New Roman" w:eastAsiaTheme="minorEastAsia"/>
          <w:szCs w:val="21"/>
          <w:highlight w:val="none"/>
        </w:rPr>
        <w:t xml:space="preserve"> 当地下水位较高，含有较厚的砂土、砂卵石时，宜采用泥浆护壁；</w:t>
      </w:r>
    </w:p>
    <w:p w14:paraId="29A66D9E">
      <w:pPr>
        <w:spacing w:line="312" w:lineRule="exact"/>
        <w:ind w:firstLine="422" w:firstLineChars="200"/>
        <w:rPr>
          <w:rFonts w:hint="default" w:ascii="Times New Roman" w:hAnsi="Times New Roman" w:eastAsiaTheme="minorEastAsia"/>
          <w:szCs w:val="21"/>
          <w:highlight w:val="none"/>
        </w:rPr>
      </w:pPr>
      <w:r>
        <w:rPr>
          <w:rFonts w:hint="eastAsia"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rPr>
        <w:t xml:space="preserve"> 在施工过程中泥浆比重</w:t>
      </w:r>
      <w:r>
        <w:rPr>
          <w:rFonts w:hint="eastAsia" w:ascii="Times New Roman" w:hAnsi="Times New Roman" w:eastAsiaTheme="minorEastAsia"/>
          <w:szCs w:val="21"/>
          <w:highlight w:val="none"/>
          <w:lang w:val="en-US" w:eastAsia="zh-CN"/>
        </w:rPr>
        <w:t>宜为</w:t>
      </w:r>
      <w:r>
        <w:rPr>
          <w:rFonts w:hint="default" w:ascii="Times New Roman" w:hAnsi="Times New Roman" w:eastAsiaTheme="minorEastAsia"/>
          <w:szCs w:val="21"/>
          <w:highlight w:val="none"/>
        </w:rPr>
        <w:t>1.</w:t>
      </w:r>
      <w:r>
        <w:rPr>
          <w:rFonts w:hint="eastAsia" w:ascii="Times New Roman" w:hAnsi="Times New Roman" w:eastAsiaTheme="minorEastAsia"/>
          <w:szCs w:val="21"/>
          <w:highlight w:val="none"/>
          <w:lang w:val="en-US" w:eastAsia="zh-CN"/>
        </w:rPr>
        <w:t>1</w:t>
      </w:r>
      <w:r>
        <w:rPr>
          <w:rFonts w:hint="default" w:ascii="Times New Roman" w:hAnsi="Times New Roman" w:eastAsiaTheme="minorEastAsia"/>
          <w:szCs w:val="21"/>
          <w:highlight w:val="none"/>
        </w:rPr>
        <w:t>～1.3。</w:t>
      </w:r>
    </w:p>
    <w:p w14:paraId="1FF1F84F">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6</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旋挖植桩施工时，</w:t>
      </w:r>
      <w:r>
        <w:rPr>
          <w:rFonts w:hint="default" w:ascii="Times New Roman" w:hAnsi="Times New Roman" w:eastAsiaTheme="minorEastAsia"/>
          <w:szCs w:val="21"/>
          <w:highlight w:val="none"/>
        </w:rPr>
        <w:t>清孔应符合下列规定：</w:t>
      </w:r>
    </w:p>
    <w:p w14:paraId="6DEE3403">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当钻进至设计桩底标高时，应停止钻进，提出钻头；</w:t>
      </w:r>
    </w:p>
    <w:p w14:paraId="27E0515A">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干作业施工时，应采用取土器，将孔内残土取尽，保持孔底干净；</w:t>
      </w:r>
    </w:p>
    <w:p w14:paraId="0730FFD5">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rPr>
        <w:t xml:space="preserve"> 湿作业施工时，应放入掏渣筒并静止0.5h后，将悬浮在泥浆中的砂砾进行第一次清孔，清孔结束后应静止不小于0.5h方可测孔底沉渣，当孔底沉渣大于设计要求时，需进行二次清孔直至孔底沉渣满足设计要求</w:t>
      </w:r>
      <w:r>
        <w:rPr>
          <w:rFonts w:hint="eastAsia" w:ascii="Times New Roman" w:hAnsi="Times New Roman" w:eastAsiaTheme="minorEastAsia"/>
          <w:szCs w:val="21"/>
          <w:highlight w:val="none"/>
          <w:lang w:eastAsia="zh-CN"/>
        </w:rPr>
        <w:t>；</w:t>
      </w:r>
    </w:p>
    <w:p w14:paraId="25B4768F">
      <w:pPr>
        <w:spacing w:line="312" w:lineRule="exact"/>
        <w:ind w:firstLine="422" w:firstLineChars="200"/>
        <w:rPr>
          <w:rFonts w:hint="default" w:ascii="Times New Roman" w:hAnsi="Times New Roman" w:eastAsiaTheme="minorEastAsia"/>
          <w:szCs w:val="21"/>
          <w:highlight w:val="none"/>
          <w:lang w:val="en-US" w:eastAsia="zh-CN"/>
        </w:rPr>
      </w:pPr>
      <w:r>
        <w:rPr>
          <w:rFonts w:hint="eastAsia" w:ascii="Times New Roman" w:hAnsi="Times New Roman" w:eastAsiaTheme="minorEastAsia"/>
          <w:b/>
          <w:bCs/>
          <w:szCs w:val="21"/>
          <w:highlight w:val="none"/>
          <w:lang w:val="en-US" w:eastAsia="zh-CN"/>
        </w:rPr>
        <w:t>4</w:t>
      </w:r>
      <w:r>
        <w:rPr>
          <w:rFonts w:hint="eastAsia" w:ascii="Times New Roman" w:hAnsi="Times New Roman" w:eastAsiaTheme="minorEastAsia"/>
          <w:szCs w:val="21"/>
          <w:highlight w:val="none"/>
          <w:lang w:val="en-US" w:eastAsia="zh-CN"/>
        </w:rPr>
        <w:t xml:space="preserve"> 端承型桩的孔底沉渣厚度不应大于50mm，摩擦型桩的孔底沉渣厚度不应大于100mm，抗拔、抗水平力桩的孔底沉渣厚度指标大于200mm。</w:t>
      </w:r>
    </w:p>
    <w:p w14:paraId="1FB469EF">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6</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5</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旋挖植桩施工时，</w:t>
      </w:r>
      <w:r>
        <w:rPr>
          <w:rFonts w:hint="default" w:ascii="Times New Roman" w:hAnsi="Times New Roman" w:eastAsiaTheme="minorEastAsia"/>
          <w:szCs w:val="21"/>
          <w:highlight w:val="none"/>
        </w:rPr>
        <w:t>外芯灌注应符合下列规定：</w:t>
      </w:r>
    </w:p>
    <w:p w14:paraId="4D163B3B">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灌注</w:t>
      </w:r>
      <w:r>
        <w:rPr>
          <w:rFonts w:hint="default" w:ascii="Times New Roman" w:hAnsi="Times New Roman" w:eastAsiaTheme="minorEastAsia"/>
          <w:szCs w:val="21"/>
          <w:highlight w:val="none"/>
        </w:rPr>
        <w:t>料应根据设计要求选择，当采用混凝土作为</w:t>
      </w:r>
      <w:r>
        <w:rPr>
          <w:rFonts w:hint="eastAsia" w:ascii="Times New Roman" w:hAnsi="Times New Roman" w:eastAsiaTheme="minorEastAsia"/>
          <w:szCs w:val="21"/>
          <w:highlight w:val="none"/>
          <w:lang w:val="en-US" w:eastAsia="zh-CN"/>
        </w:rPr>
        <w:t>灌注</w:t>
      </w:r>
      <w:r>
        <w:rPr>
          <w:rFonts w:hint="default" w:ascii="Times New Roman" w:hAnsi="Times New Roman" w:eastAsiaTheme="minorEastAsia"/>
          <w:szCs w:val="21"/>
          <w:highlight w:val="none"/>
        </w:rPr>
        <w:t>料时，应根据施工设备和施工组织，添加缓凝剂以满足植入桩</w:t>
      </w:r>
      <w:r>
        <w:rPr>
          <w:rFonts w:hint="eastAsia" w:ascii="Times New Roman" w:hAnsi="Times New Roman" w:eastAsiaTheme="minorEastAsia"/>
          <w:szCs w:val="21"/>
          <w:highlight w:val="none"/>
          <w:lang w:val="en-US" w:eastAsia="zh-CN"/>
        </w:rPr>
        <w:t>所需要的</w:t>
      </w:r>
      <w:r>
        <w:rPr>
          <w:rFonts w:hint="default" w:ascii="Times New Roman" w:hAnsi="Times New Roman" w:eastAsiaTheme="minorEastAsia"/>
          <w:szCs w:val="21"/>
          <w:highlight w:val="none"/>
        </w:rPr>
        <w:t>时间，混凝土坍落度宜控制在180</w:t>
      </w:r>
      <w:r>
        <w:rPr>
          <w:rFonts w:hint="eastAsia" w:ascii="Times New Roman" w:hAnsi="Times New Roman" w:eastAsiaTheme="minorEastAsia"/>
          <w:szCs w:val="21"/>
          <w:highlight w:val="none"/>
          <w:lang w:val="en-US" w:eastAsia="zh-CN"/>
        </w:rPr>
        <w:t>mm</w:t>
      </w:r>
      <w:r>
        <w:rPr>
          <w:rFonts w:hint="default" w:ascii="Times New Roman" w:hAnsi="Times New Roman" w:eastAsiaTheme="minorEastAsia"/>
          <w:szCs w:val="21"/>
          <w:highlight w:val="none"/>
        </w:rPr>
        <w:t>～220mm</w:t>
      </w:r>
      <w:r>
        <w:rPr>
          <w:rFonts w:hint="eastAsia" w:ascii="Times New Roman" w:hAnsi="Times New Roman" w:eastAsiaTheme="minorEastAsia"/>
          <w:szCs w:val="21"/>
          <w:highlight w:val="none"/>
          <w:lang w:eastAsia="zh-CN"/>
        </w:rPr>
        <w:t>，</w:t>
      </w:r>
      <w:r>
        <w:rPr>
          <w:rFonts w:hint="eastAsia" w:ascii="Times New Roman" w:hAnsi="Times New Roman" w:eastAsiaTheme="minorEastAsia"/>
          <w:szCs w:val="21"/>
          <w:highlight w:val="none"/>
          <w:lang w:val="en-US" w:eastAsia="zh-CN"/>
        </w:rPr>
        <w:t>石子</w:t>
      </w:r>
      <w:r>
        <w:rPr>
          <w:rFonts w:hint="default" w:ascii="Times New Roman" w:hAnsi="Times New Roman" w:eastAsiaTheme="minorEastAsia"/>
          <w:szCs w:val="21"/>
          <w:highlight w:val="none"/>
        </w:rPr>
        <w:t>最大粒径不大于20mm。当采用水泥砂浆或</w:t>
      </w:r>
      <w:r>
        <w:rPr>
          <w:rFonts w:hint="eastAsia" w:ascii="Times New Roman" w:hAnsi="Times New Roman" w:eastAsiaTheme="minorEastAsia"/>
          <w:szCs w:val="21"/>
          <w:highlight w:val="none"/>
          <w:lang w:eastAsia="zh-CN"/>
        </w:rPr>
        <w:t>水泥土或固化土</w:t>
      </w:r>
      <w:r>
        <w:rPr>
          <w:rFonts w:hint="default" w:ascii="Times New Roman" w:hAnsi="Times New Roman" w:eastAsiaTheme="minorEastAsia"/>
          <w:szCs w:val="21"/>
          <w:highlight w:val="none"/>
        </w:rPr>
        <w:t>作为</w:t>
      </w:r>
      <w:r>
        <w:rPr>
          <w:rFonts w:hint="eastAsia" w:ascii="Times New Roman" w:hAnsi="Times New Roman" w:eastAsiaTheme="minorEastAsia"/>
          <w:szCs w:val="21"/>
          <w:highlight w:val="none"/>
          <w:lang w:val="en-US" w:eastAsia="zh-CN"/>
        </w:rPr>
        <w:t>灌注</w:t>
      </w:r>
      <w:r>
        <w:rPr>
          <w:rFonts w:hint="default" w:ascii="Times New Roman" w:hAnsi="Times New Roman" w:eastAsiaTheme="minorEastAsia"/>
          <w:szCs w:val="21"/>
          <w:highlight w:val="none"/>
        </w:rPr>
        <w:t>料时</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应根据设计要求通过试验确定配合比。</w:t>
      </w:r>
    </w:p>
    <w:p w14:paraId="73835FF6">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应根据先期试桩工艺，对不同直径、深度的桩孔分别计算出填充料的灌入量。</w:t>
      </w:r>
    </w:p>
    <w:p w14:paraId="67712A69">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rPr>
        <w:t xml:space="preserve"> 填充料应采用导管灌注，导管应伸至孔底，灌注填充料时应缓慢提管。</w:t>
      </w:r>
    </w:p>
    <w:p w14:paraId="0FDD0C09">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6</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6</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旋挖植桩施工时，</w:t>
      </w:r>
      <w:r>
        <w:rPr>
          <w:rFonts w:hint="default" w:ascii="Times New Roman" w:hAnsi="Times New Roman" w:eastAsiaTheme="minorEastAsia"/>
          <w:szCs w:val="21"/>
          <w:highlight w:val="none"/>
        </w:rPr>
        <w:t>导管应符合下列规定：</w:t>
      </w:r>
    </w:p>
    <w:p w14:paraId="3928F65B">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宜选用采用丝扣连接的导管，其内径</w:t>
      </w:r>
      <w:r>
        <w:rPr>
          <w:rFonts w:hint="eastAsia" w:ascii="Times New Roman" w:hAnsi="Times New Roman" w:eastAsiaTheme="minorEastAsia"/>
          <w:szCs w:val="21"/>
          <w:highlight w:val="none"/>
          <w:lang w:val="en-US" w:eastAsia="zh-CN"/>
        </w:rPr>
        <w:t>为</w:t>
      </w:r>
      <w:r>
        <w:rPr>
          <w:rFonts w:hint="default" w:ascii="Times New Roman" w:hAnsi="Times New Roman" w:eastAsiaTheme="minorEastAsia"/>
          <w:szCs w:val="21"/>
          <w:highlight w:val="none"/>
        </w:rPr>
        <w:t>φ200mm～φ300mm，底管长度宜为4m，中间每节长度宜为2.5m</w:t>
      </w:r>
      <w:r>
        <w:rPr>
          <w:rFonts w:hint="eastAsia" w:ascii="Times New Roman" w:hAnsi="Times New Roman" w:eastAsiaTheme="minorEastAsia"/>
          <w:szCs w:val="21"/>
          <w:highlight w:val="none"/>
          <w:lang w:eastAsia="zh-CN"/>
        </w:rPr>
        <w:t>；</w:t>
      </w:r>
    </w:p>
    <w:p w14:paraId="327F37E6">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在导管使用前，应试拼装、试压，试水压力可取为0.6～1.0MPa</w:t>
      </w:r>
      <w:r>
        <w:rPr>
          <w:rFonts w:hint="eastAsia" w:ascii="Times New Roman" w:hAnsi="Times New Roman" w:eastAsiaTheme="minorEastAsia"/>
          <w:szCs w:val="21"/>
          <w:highlight w:val="none"/>
          <w:lang w:eastAsia="zh-CN"/>
        </w:rPr>
        <w:t>；</w:t>
      </w:r>
    </w:p>
    <w:p w14:paraId="7939F61D">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lang w:val="en-US" w:eastAsia="zh-CN"/>
        </w:rPr>
        <w:t>3</w:t>
      </w:r>
      <w:r>
        <w:rPr>
          <w:rFonts w:hint="default" w:ascii="Times New Roman" w:hAnsi="Times New Roman" w:eastAsia="黑体"/>
          <w:b/>
          <w:bCs/>
          <w:kern w:val="0"/>
          <w:szCs w:val="21"/>
          <w:highlight w:val="none"/>
        </w:rPr>
        <w:t xml:space="preserve"> </w:t>
      </w:r>
      <w:r>
        <w:rPr>
          <w:rFonts w:hint="default" w:ascii="Times New Roman" w:hAnsi="Times New Roman" w:eastAsiaTheme="minorEastAsia"/>
          <w:szCs w:val="21"/>
          <w:highlight w:val="none"/>
        </w:rPr>
        <w:t>导管下放时，导管在孔口连接处应牢固，设置密封圈，吊放时，应使位置居中，轴线顺直，稳定沉放。</w:t>
      </w:r>
    </w:p>
    <w:p w14:paraId="225FB982">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6</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7</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旋挖植桩施工时，</w:t>
      </w:r>
      <w:r>
        <w:rPr>
          <w:rFonts w:hint="default" w:ascii="Times New Roman" w:hAnsi="Times New Roman" w:eastAsiaTheme="minorEastAsia"/>
          <w:szCs w:val="21"/>
          <w:highlight w:val="none"/>
        </w:rPr>
        <w:t>填充料浇筑</w:t>
      </w:r>
      <w:r>
        <w:rPr>
          <w:rFonts w:hint="eastAsia" w:ascii="Times New Roman" w:hAnsi="Times New Roman" w:eastAsiaTheme="minorEastAsia"/>
          <w:szCs w:val="21"/>
          <w:highlight w:val="none"/>
          <w:lang w:val="en-US" w:eastAsia="zh-CN"/>
        </w:rPr>
        <w:t>结束并且植入芯桩</w:t>
      </w:r>
      <w:r>
        <w:rPr>
          <w:rFonts w:hint="default" w:ascii="Times New Roman" w:hAnsi="Times New Roman" w:eastAsiaTheme="minorEastAsia"/>
          <w:szCs w:val="21"/>
          <w:highlight w:val="none"/>
        </w:rPr>
        <w:t>后，宜在混凝土初凝后至终凝前拆除护筒，并将浇筑设备机具清洗干净，整齐堆放。</w:t>
      </w:r>
    </w:p>
    <w:p w14:paraId="07849685">
      <w:pPr>
        <w:pStyle w:val="3"/>
        <w:spacing w:before="312" w:after="312"/>
        <w:rPr>
          <w:rFonts w:ascii="Times New Roman" w:hAnsi="Times New Roman" w:cs="Times New Roman"/>
          <w:highlight w:val="none"/>
        </w:rPr>
      </w:pPr>
      <w:bookmarkStart w:id="106" w:name="_Toc31819"/>
      <w:bookmarkStart w:id="107" w:name="_Toc19303"/>
      <w:r>
        <w:rPr>
          <w:rFonts w:hint="default" w:ascii="Times New Roman" w:hAnsi="Times New Roman" w:cs="Times New Roman"/>
          <w:b/>
          <w:bCs w:val="0"/>
          <w:highlight w:val="none"/>
        </w:rPr>
        <w:t>5.</w:t>
      </w:r>
      <w:r>
        <w:rPr>
          <w:rFonts w:hint="eastAsia" w:ascii="Times New Roman" w:hAnsi="Times New Roman" w:cs="Times New Roman"/>
          <w:b/>
          <w:bCs w:val="0"/>
          <w:highlight w:val="none"/>
          <w:lang w:val="en-US" w:eastAsia="zh-CN"/>
        </w:rPr>
        <w:t>7</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长螺旋压灌</w:t>
      </w:r>
      <w:bookmarkEnd w:id="106"/>
      <w:r>
        <w:rPr>
          <w:rFonts w:hint="default" w:ascii="Times New Roman" w:hAnsi="Times New Roman" w:cs="Times New Roman"/>
          <w:highlight w:val="none"/>
          <w:lang w:val="en-US" w:eastAsia="zh-CN"/>
        </w:rPr>
        <w:t>工艺</w:t>
      </w:r>
      <w:bookmarkEnd w:id="107"/>
    </w:p>
    <w:p w14:paraId="68ED55A6">
      <w:pPr>
        <w:spacing w:line="312" w:lineRule="exact"/>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7</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1</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长螺旋压灌植桩施工时，</w:t>
      </w:r>
      <w:r>
        <w:rPr>
          <w:rFonts w:hint="eastAsia" w:ascii="Times New Roman" w:hAnsi="Times New Roman" w:eastAsiaTheme="minorEastAsia"/>
          <w:szCs w:val="21"/>
          <w:highlight w:val="none"/>
          <w:lang w:val="en-US" w:eastAsia="zh-CN"/>
        </w:rPr>
        <w:t>钻进过程</w:t>
      </w:r>
      <w:r>
        <w:rPr>
          <w:rFonts w:hint="default" w:ascii="Times New Roman" w:hAnsi="Times New Roman" w:eastAsiaTheme="minorEastAsia"/>
          <w:szCs w:val="21"/>
          <w:highlight w:val="none"/>
        </w:rPr>
        <w:t>应符合下列规定</w:t>
      </w:r>
      <w:r>
        <w:rPr>
          <w:rFonts w:hint="default" w:ascii="Times New Roman" w:hAnsi="Times New Roman" w:eastAsiaTheme="minorEastAsia"/>
          <w:szCs w:val="21"/>
          <w:highlight w:val="none"/>
          <w:lang w:eastAsia="zh-CN"/>
        </w:rPr>
        <w:t>：</w:t>
      </w:r>
    </w:p>
    <w:p w14:paraId="5B2652FB">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开钻前钻头阀门应封闭；</w:t>
      </w:r>
    </w:p>
    <w:p w14:paraId="6B8FFB19">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钻杆下移至钻头触及地面时，应取掉钻头阀门插销后方可钻进；</w:t>
      </w:r>
    </w:p>
    <w:p w14:paraId="452F9819">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rPr>
        <w:t xml:space="preserve"> 钻进速度应先慢后快；</w:t>
      </w:r>
    </w:p>
    <w:p w14:paraId="29C7E55B">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hint="default" w:ascii="Times New Roman" w:hAnsi="Times New Roman" w:eastAsiaTheme="minorEastAsia"/>
          <w:szCs w:val="21"/>
          <w:highlight w:val="none"/>
        </w:rPr>
        <w:t xml:space="preserve"> 当钻杆摇晃或难以钻进时，应放慢钻进速度或停机，查明原因并采取措施后继续钻进，禁止强行钻进</w:t>
      </w:r>
      <w:r>
        <w:rPr>
          <w:rFonts w:hint="eastAsia" w:ascii="Times New Roman" w:hAnsi="Times New Roman" w:eastAsiaTheme="minorEastAsia"/>
          <w:szCs w:val="21"/>
          <w:highlight w:val="none"/>
          <w:lang w:eastAsia="zh-CN"/>
        </w:rPr>
        <w:t>；</w:t>
      </w:r>
    </w:p>
    <w:p w14:paraId="431F5F49">
      <w:pPr>
        <w:spacing w:line="312" w:lineRule="exact"/>
        <w:ind w:firstLine="422" w:firstLineChars="20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5</w:t>
      </w:r>
      <w:r>
        <w:rPr>
          <w:rFonts w:hint="default" w:ascii="Times New Roman" w:hAnsi="Times New Roman" w:eastAsiaTheme="minorEastAsia"/>
          <w:szCs w:val="21"/>
          <w:highlight w:val="none"/>
        </w:rPr>
        <w:t xml:space="preserve"> 钻孔深度应根据设计桩长及施工地面标高确定。深度量测可以钻机塔身或钻杆的相对位置作为参照标尺，并应每天采用测量仪器进行控制性复核</w:t>
      </w:r>
      <w:r>
        <w:rPr>
          <w:rFonts w:hint="eastAsia" w:ascii="Times New Roman" w:hAnsi="Times New Roman" w:eastAsiaTheme="minorEastAsia"/>
          <w:szCs w:val="21"/>
          <w:highlight w:val="none"/>
          <w:lang w:eastAsia="zh-CN"/>
        </w:rPr>
        <w:t>。</w:t>
      </w:r>
    </w:p>
    <w:p w14:paraId="0B514101">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7</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长螺旋压灌植桩施工时，</w:t>
      </w:r>
      <w:r>
        <w:rPr>
          <w:rFonts w:hint="eastAsia" w:ascii="Times New Roman" w:hAnsi="Times New Roman" w:eastAsiaTheme="minorEastAsia"/>
          <w:szCs w:val="21"/>
          <w:highlight w:val="none"/>
          <w:lang w:val="en-US" w:eastAsia="zh-CN"/>
        </w:rPr>
        <w:t>提钻过程</w:t>
      </w:r>
      <w:r>
        <w:rPr>
          <w:rFonts w:hint="default" w:ascii="Times New Roman" w:hAnsi="Times New Roman" w:eastAsiaTheme="minorEastAsia"/>
          <w:szCs w:val="21"/>
          <w:highlight w:val="none"/>
        </w:rPr>
        <w:t>应符合下列规定：</w:t>
      </w:r>
    </w:p>
    <w:p w14:paraId="33B41ECB">
      <w:pPr>
        <w:spacing w:line="312" w:lineRule="exact"/>
        <w:ind w:firstLine="422" w:firstLineChars="20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1</w:t>
      </w:r>
      <w:r>
        <w:rPr>
          <w:rFonts w:hint="default" w:ascii="Times New Roman" w:hAnsi="Times New Roman" w:eastAsiaTheme="minorEastAsia"/>
          <w:szCs w:val="21"/>
          <w:highlight w:val="none"/>
        </w:rPr>
        <w:t xml:space="preserve"> 钻机提钻时，应配备专职人员同步清除钻杆螺旋叶片间的泥土，不得带泥上提</w:t>
      </w:r>
      <w:r>
        <w:rPr>
          <w:rFonts w:hint="eastAsia" w:ascii="Times New Roman" w:hAnsi="Times New Roman" w:eastAsiaTheme="minorEastAsia"/>
          <w:szCs w:val="21"/>
          <w:highlight w:val="none"/>
          <w:lang w:eastAsia="zh-CN"/>
        </w:rPr>
        <w:t>；</w:t>
      </w:r>
    </w:p>
    <w:p w14:paraId="037A2298">
      <w:pPr>
        <w:spacing w:line="312" w:lineRule="exact"/>
        <w:ind w:firstLine="422" w:firstLineChars="20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rPr>
        <w:t xml:space="preserve"> 成孔过程中应随时检查钻头、钻杆螺旋叶片的磨损情况，磨损严重影响成孔直径时，应及时更换</w:t>
      </w:r>
      <w:r>
        <w:rPr>
          <w:rFonts w:hint="eastAsia" w:ascii="Times New Roman" w:hAnsi="Times New Roman" w:eastAsiaTheme="minorEastAsia"/>
          <w:szCs w:val="21"/>
          <w:highlight w:val="none"/>
          <w:lang w:eastAsia="zh-CN"/>
        </w:rPr>
        <w:t>。</w:t>
      </w:r>
    </w:p>
    <w:p w14:paraId="5AC048B5">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7</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3</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长螺旋压灌植桩施工时，</w:t>
      </w:r>
      <w:r>
        <w:rPr>
          <w:rFonts w:hint="eastAsia" w:ascii="Times New Roman" w:hAnsi="Times New Roman" w:eastAsiaTheme="minorEastAsia"/>
          <w:szCs w:val="21"/>
          <w:highlight w:val="none"/>
          <w:lang w:val="en-US" w:eastAsia="zh-CN"/>
        </w:rPr>
        <w:t>泵送过程</w:t>
      </w:r>
      <w:r>
        <w:rPr>
          <w:rFonts w:hint="default" w:ascii="Times New Roman" w:hAnsi="Times New Roman" w:eastAsiaTheme="minorEastAsia"/>
          <w:szCs w:val="21"/>
          <w:highlight w:val="none"/>
        </w:rPr>
        <w:t>应符合下列规定：</w:t>
      </w:r>
    </w:p>
    <w:p w14:paraId="15DC2A48">
      <w:pPr>
        <w:spacing w:line="312" w:lineRule="exact"/>
        <w:ind w:firstLine="422" w:firstLineChars="20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1</w:t>
      </w:r>
      <w:r>
        <w:rPr>
          <w:rFonts w:hint="default" w:ascii="Times New Roman" w:hAnsi="Times New Roman" w:eastAsiaTheme="minorEastAsia"/>
          <w:szCs w:val="21"/>
          <w:highlight w:val="none"/>
        </w:rPr>
        <w:t xml:space="preserve"> 钻孔施工至设计标高后，螺旋钻杆宜</w:t>
      </w:r>
      <w:r>
        <w:rPr>
          <w:rFonts w:hint="eastAsia" w:ascii="Times New Roman" w:hAnsi="Times New Roman" w:eastAsiaTheme="minorEastAsia"/>
          <w:szCs w:val="21"/>
          <w:highlight w:val="none"/>
          <w:lang w:val="en-US" w:eastAsia="zh-CN"/>
        </w:rPr>
        <w:t>空转1min，并提钻50cm后</w:t>
      </w:r>
      <w:r>
        <w:rPr>
          <w:rFonts w:hint="default" w:ascii="Times New Roman" w:hAnsi="Times New Roman" w:eastAsiaTheme="minorEastAsia"/>
          <w:szCs w:val="21"/>
          <w:highlight w:val="none"/>
        </w:rPr>
        <w:t>开始泵送充填材料</w:t>
      </w:r>
      <w:r>
        <w:rPr>
          <w:rFonts w:hint="eastAsia" w:ascii="Times New Roman" w:hAnsi="Times New Roman" w:eastAsiaTheme="minorEastAsia"/>
          <w:szCs w:val="21"/>
          <w:highlight w:val="none"/>
          <w:lang w:eastAsia="zh-CN"/>
        </w:rPr>
        <w:t>；</w:t>
      </w:r>
    </w:p>
    <w:p w14:paraId="4234FF19">
      <w:pPr>
        <w:spacing w:line="312" w:lineRule="exact"/>
        <w:ind w:firstLine="422" w:firstLineChars="20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rPr>
        <w:t xml:space="preserve"> 泵送充填材料至孔底并加压后方可提钻</w:t>
      </w:r>
      <w:r>
        <w:rPr>
          <w:rFonts w:hint="eastAsia" w:ascii="Times New Roman" w:hAnsi="Times New Roman" w:eastAsiaTheme="minorEastAsia"/>
          <w:szCs w:val="21"/>
          <w:highlight w:val="none"/>
          <w:lang w:eastAsia="zh-CN"/>
        </w:rPr>
        <w:t>；</w:t>
      </w:r>
    </w:p>
    <w:p w14:paraId="218442C7">
      <w:pPr>
        <w:spacing w:line="312" w:lineRule="exact"/>
        <w:ind w:firstLine="422" w:firstLineChars="20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3</w:t>
      </w:r>
      <w:r>
        <w:rPr>
          <w:rFonts w:hint="default" w:ascii="Times New Roman" w:hAnsi="Times New Roman" w:eastAsiaTheme="minorEastAsia"/>
          <w:szCs w:val="21"/>
          <w:highlight w:val="none"/>
        </w:rPr>
        <w:t xml:space="preserve"> 充填材料压灌过程中，应保持钻具排气孔畅通，钻杆提升速度应与充填材料泵送量相匹配。泵料斗内的充填材料面高于料斗底面的高度不应小于400 mm</w:t>
      </w:r>
      <w:r>
        <w:rPr>
          <w:rFonts w:hint="eastAsia" w:ascii="Times New Roman" w:hAnsi="Times New Roman" w:eastAsiaTheme="minorEastAsia"/>
          <w:szCs w:val="21"/>
          <w:highlight w:val="none"/>
          <w:lang w:eastAsia="zh-CN"/>
        </w:rPr>
        <w:t>；</w:t>
      </w:r>
    </w:p>
    <w:p w14:paraId="351BB33F">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7</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hint="default" w:ascii="Times New Roman" w:hAnsi="Times New Roman" w:eastAsiaTheme="minorEastAsia"/>
          <w:szCs w:val="21"/>
          <w:highlight w:val="none"/>
        </w:rPr>
        <w:t xml:space="preserve"> </w:t>
      </w:r>
      <w:r>
        <w:rPr>
          <w:rFonts w:hint="default" w:ascii="Times New Roman" w:hAnsi="Times New Roman" w:eastAsiaTheme="minorEastAsia"/>
          <w:szCs w:val="21"/>
          <w:highlight w:val="none"/>
          <w:lang w:val="en-US" w:eastAsia="zh-CN"/>
        </w:rPr>
        <w:t>长螺旋压灌植桩施工时，</w:t>
      </w:r>
      <w:r>
        <w:rPr>
          <w:rFonts w:hint="eastAsia" w:ascii="Times New Roman" w:hAnsi="Times New Roman" w:eastAsiaTheme="minorEastAsia"/>
          <w:szCs w:val="21"/>
          <w:highlight w:val="none"/>
          <w:lang w:val="en-US" w:eastAsia="zh-CN"/>
        </w:rPr>
        <w:t>应注意</w:t>
      </w:r>
      <w:r>
        <w:rPr>
          <w:rFonts w:hint="default" w:ascii="Times New Roman" w:hAnsi="Times New Roman" w:eastAsiaTheme="minorEastAsia"/>
          <w:szCs w:val="21"/>
          <w:highlight w:val="none"/>
        </w:rPr>
        <w:t>下列</w:t>
      </w:r>
      <w:r>
        <w:rPr>
          <w:rFonts w:hint="eastAsia" w:ascii="Times New Roman" w:hAnsi="Times New Roman" w:eastAsiaTheme="minorEastAsia"/>
          <w:szCs w:val="21"/>
          <w:highlight w:val="none"/>
          <w:lang w:val="en-US" w:eastAsia="zh-CN"/>
        </w:rPr>
        <w:t>问题</w:t>
      </w:r>
      <w:r>
        <w:rPr>
          <w:rFonts w:hint="default" w:ascii="Times New Roman" w:hAnsi="Times New Roman" w:eastAsiaTheme="minorEastAsia"/>
          <w:szCs w:val="21"/>
          <w:highlight w:val="none"/>
        </w:rPr>
        <w:t>：</w:t>
      </w:r>
    </w:p>
    <w:p w14:paraId="2E1CA08B">
      <w:pPr>
        <w:spacing w:line="312" w:lineRule="exact"/>
        <w:ind w:firstLine="422" w:firstLineChars="20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1</w:t>
      </w:r>
      <w:r>
        <w:rPr>
          <w:rFonts w:hint="default" w:ascii="Times New Roman" w:hAnsi="Times New Roman" w:eastAsiaTheme="minorEastAsia"/>
          <w:szCs w:val="21"/>
          <w:highlight w:val="none"/>
        </w:rPr>
        <w:t xml:space="preserve"> 冬期、夏期施工时，输送泵、输送管路应采用覆盖保温材料等保温措施</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冬期填充材料入孔温度不应低5℃</w:t>
      </w:r>
      <w:r>
        <w:rPr>
          <w:rFonts w:hint="eastAsia" w:ascii="Times New Roman" w:hAnsi="Times New Roman" w:eastAsiaTheme="minorEastAsia"/>
          <w:szCs w:val="21"/>
          <w:highlight w:val="none"/>
          <w:lang w:eastAsia="zh-CN"/>
        </w:rPr>
        <w:t>；</w:t>
      </w:r>
    </w:p>
    <w:p w14:paraId="40E6DB7D">
      <w:pPr>
        <w:spacing w:line="312" w:lineRule="exact"/>
        <w:ind w:firstLine="422" w:firstLineChars="20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rPr>
        <w:t xml:space="preserve"> 施工前，或长时间停下后重新施工前，应采用清水将混凝土泵的料斗及输送管路湿润，后泵入适量的润管砂浆，并将所有砂浆泵出管外</w:t>
      </w:r>
      <w:r>
        <w:rPr>
          <w:rFonts w:hint="eastAsia" w:ascii="Times New Roman" w:hAnsi="Times New Roman" w:eastAsiaTheme="minorEastAsia"/>
          <w:szCs w:val="21"/>
          <w:highlight w:val="none"/>
          <w:lang w:eastAsia="zh-CN"/>
        </w:rPr>
        <w:t>；</w:t>
      </w:r>
    </w:p>
    <w:p w14:paraId="20526D0A">
      <w:pPr>
        <w:spacing w:line="312" w:lineRule="exact"/>
        <w:ind w:firstLine="422" w:firstLineChars="200"/>
        <w:rPr>
          <w:rFonts w:hint="default" w:ascii="Times New Roman" w:hAnsi="Times New Roman" w:eastAsiaTheme="minorEastAsia"/>
          <w:szCs w:val="21"/>
          <w:highlight w:val="none"/>
        </w:rPr>
      </w:pPr>
      <w:r>
        <w:rPr>
          <w:rFonts w:hint="eastAsia" w:ascii="Times New Roman" w:hAnsi="Times New Roman" w:eastAsia="黑体"/>
          <w:b/>
          <w:bCs/>
          <w:kern w:val="0"/>
          <w:szCs w:val="21"/>
          <w:highlight w:val="none"/>
          <w:lang w:val="en-US" w:eastAsia="zh-CN"/>
        </w:rPr>
        <w:t>3</w:t>
      </w:r>
      <w:r>
        <w:rPr>
          <w:rFonts w:hint="default" w:ascii="Times New Roman" w:hAnsi="Times New Roman" w:eastAsiaTheme="minorEastAsia"/>
          <w:szCs w:val="21"/>
          <w:highlight w:val="none"/>
        </w:rPr>
        <w:t xml:space="preserve"> 停止施工后应及时用清水清洗输送泵及管路</w:t>
      </w:r>
      <w:r>
        <w:rPr>
          <w:rFonts w:hint="eastAsia" w:ascii="Times New Roman" w:hAnsi="Times New Roman" w:eastAsiaTheme="minorEastAsia"/>
          <w:szCs w:val="21"/>
          <w:highlight w:val="none"/>
          <w:lang w:eastAsia="zh-CN"/>
        </w:rPr>
        <w:t>；</w:t>
      </w:r>
    </w:p>
    <w:p w14:paraId="530CF719">
      <w:pPr>
        <w:spacing w:line="312" w:lineRule="exact"/>
        <w:ind w:firstLine="422" w:firstLineChars="200"/>
        <w:rPr>
          <w:rFonts w:hint="eastAsia" w:ascii="Times New Roman" w:hAnsi="Times New Roman" w:eastAsiaTheme="minorEastAsia"/>
          <w:szCs w:val="21"/>
          <w:highlight w:val="none"/>
          <w:lang w:eastAsia="zh-CN"/>
        </w:rPr>
      </w:pPr>
      <w:r>
        <w:rPr>
          <w:rFonts w:hint="eastAsia" w:ascii="Times New Roman" w:hAnsi="Times New Roman" w:eastAsia="黑体"/>
          <w:b/>
          <w:bCs/>
          <w:kern w:val="0"/>
          <w:szCs w:val="21"/>
          <w:highlight w:val="none"/>
          <w:lang w:val="en-US" w:eastAsia="zh-CN"/>
        </w:rPr>
        <w:t>4</w:t>
      </w:r>
      <w:r>
        <w:rPr>
          <w:rFonts w:hint="default" w:ascii="Times New Roman" w:hAnsi="Times New Roman" w:eastAsiaTheme="minorEastAsia"/>
          <w:szCs w:val="21"/>
          <w:highlight w:val="none"/>
        </w:rPr>
        <w:t xml:space="preserve"> 当植入开口芯桩时，充填材料压灌高度不宜小于桩顶设计标高</w:t>
      </w:r>
      <w:r>
        <w:rPr>
          <w:rFonts w:hint="eastAsia" w:ascii="Times New Roman" w:hAnsi="Times New Roman" w:eastAsiaTheme="minorEastAsia"/>
          <w:szCs w:val="21"/>
          <w:highlight w:val="none"/>
          <w:lang w:eastAsia="zh-CN"/>
        </w:rPr>
        <w:t>。</w:t>
      </w:r>
    </w:p>
    <w:p w14:paraId="7E759D85">
      <w:pPr>
        <w:pStyle w:val="3"/>
        <w:spacing w:before="312" w:after="312"/>
        <w:rPr>
          <w:rFonts w:hint="default" w:ascii="Times New Roman" w:hAnsi="Times New Roman" w:cs="Times New Roman"/>
          <w:b/>
          <w:bCs w:val="0"/>
          <w:highlight w:val="none"/>
          <w:lang w:val="en-US" w:eastAsia="zh-CN"/>
        </w:rPr>
      </w:pPr>
      <w:bookmarkStart w:id="108" w:name="_Toc13531"/>
      <w:bookmarkStart w:id="109" w:name="_Toc29965"/>
      <w:r>
        <w:rPr>
          <w:rFonts w:hint="default" w:ascii="Times New Roman" w:hAnsi="Times New Roman" w:cs="Times New Roman"/>
          <w:b/>
          <w:bCs w:val="0"/>
          <w:highlight w:val="none"/>
          <w:lang w:val="en-US" w:eastAsia="zh-CN"/>
        </w:rPr>
        <w:t>5.</w:t>
      </w:r>
      <w:r>
        <w:rPr>
          <w:rFonts w:hint="eastAsia" w:ascii="Times New Roman" w:hAnsi="Times New Roman" w:cs="Times New Roman"/>
          <w:b/>
          <w:bCs w:val="0"/>
          <w:highlight w:val="none"/>
          <w:lang w:val="en-US" w:eastAsia="zh-CN"/>
        </w:rPr>
        <w:t>8</w:t>
      </w:r>
      <w:r>
        <w:rPr>
          <w:rFonts w:hint="default" w:ascii="Times New Roman" w:hAnsi="Times New Roman" w:cs="Times New Roman"/>
          <w:b/>
          <w:bCs w:val="0"/>
          <w:highlight w:val="none"/>
          <w:lang w:val="en-US" w:eastAsia="zh-CN"/>
        </w:rPr>
        <w:t xml:space="preserve"> </w:t>
      </w:r>
      <w:r>
        <w:rPr>
          <w:rFonts w:hint="eastAsia" w:ascii="Times New Roman" w:hAnsi="Times New Roman" w:cs="Times New Roman"/>
          <w:b/>
          <w:bCs w:val="0"/>
          <w:highlight w:val="none"/>
          <w:lang w:val="en-US" w:eastAsia="zh-CN"/>
        </w:rPr>
        <w:t>沉桩与接桩</w:t>
      </w:r>
      <w:bookmarkEnd w:id="108"/>
      <w:bookmarkEnd w:id="109"/>
    </w:p>
    <w:p w14:paraId="6E59B15F">
      <w:pPr>
        <w:spacing w:line="312" w:lineRule="exact"/>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8</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1</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沉桩施工可采用锤击法、静压法和振动法。</w:t>
      </w:r>
    </w:p>
    <w:p w14:paraId="4636808C">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8</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2</w:t>
      </w:r>
      <w:r>
        <w:rPr>
          <w:rFonts w:hint="default" w:ascii="Times New Roman" w:hAnsi="Times New Roman" w:eastAsiaTheme="minorEastAsia"/>
          <w:szCs w:val="21"/>
          <w:highlight w:val="none"/>
        </w:rPr>
        <w:t xml:space="preserve"> 采用锤击法沉桩应符合下列规定：</w:t>
      </w:r>
    </w:p>
    <w:p w14:paraId="543526E2">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桩帽的强度、刚度和耐打性应符合要求，桩帽套筒应与施打的桩径</w:t>
      </w:r>
      <w:r>
        <w:rPr>
          <w:rFonts w:hint="eastAsia" w:ascii="Times New Roman" w:hAnsi="Times New Roman" w:eastAsiaTheme="minorEastAsia"/>
          <w:szCs w:val="21"/>
          <w:highlight w:val="none"/>
          <w:lang w:val="en-US" w:eastAsia="zh-CN"/>
        </w:rPr>
        <w:t>或边长</w:t>
      </w:r>
      <w:r>
        <w:rPr>
          <w:rFonts w:hint="default" w:ascii="Times New Roman" w:hAnsi="Times New Roman" w:eastAsiaTheme="minorEastAsia"/>
          <w:szCs w:val="21"/>
          <w:highlight w:val="none"/>
        </w:rPr>
        <w:t>相匹配；</w:t>
      </w:r>
    </w:p>
    <w:p w14:paraId="7E29CC33">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桩帽套筒底面与桩头之间应设置桩垫，桩帽上部直接接触打桩锤的部位应设置锤垫，打桩前应进行检查、校正或更换；</w:t>
      </w:r>
    </w:p>
    <w:p w14:paraId="25A7AFFA">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宜采用重锤</w:t>
      </w:r>
      <w:r>
        <w:rPr>
          <w:rFonts w:hint="eastAsia" w:ascii="Times New Roman" w:hAnsi="Times New Roman" w:eastAsiaTheme="minorEastAsia"/>
          <w:szCs w:val="21"/>
          <w:highlight w:val="none"/>
          <w:lang w:val="en-US" w:eastAsia="zh-CN"/>
        </w:rPr>
        <w:t>轻</w:t>
      </w:r>
      <w:r>
        <w:rPr>
          <w:rFonts w:hint="default" w:ascii="Times New Roman" w:hAnsi="Times New Roman" w:eastAsiaTheme="minorEastAsia"/>
          <w:szCs w:val="21"/>
          <w:highlight w:val="none"/>
        </w:rPr>
        <w:t>击，最大锤击压应力和锤击拉应力均不应大于混凝土的轴心抗压强度设计值和轴心抗拉强度设计值；</w:t>
      </w:r>
    </w:p>
    <w:p w14:paraId="27D286D4">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收锤标准应根据试桩或工程经验，宜结合工程地质条件、单桩承载力特征值、桩规格及入土深度和最后1</w:t>
      </w:r>
      <w:r>
        <w:rPr>
          <w:rFonts w:hint="eastAsia" w:ascii="Times New Roman" w:hAnsi="Times New Roman" w:eastAsiaTheme="minorEastAsia"/>
          <w:szCs w:val="21"/>
          <w:highlight w:val="none"/>
          <w:lang w:val="en-US" w:eastAsia="zh-CN"/>
        </w:rPr>
        <w:t>~</w:t>
      </w:r>
      <w:r>
        <w:rPr>
          <w:rFonts w:hint="default" w:ascii="Times New Roman" w:hAnsi="Times New Roman" w:eastAsiaTheme="minorEastAsia"/>
          <w:szCs w:val="21"/>
          <w:highlight w:val="none"/>
        </w:rPr>
        <w:t>3米的沉桩情况等综合因素确定，</w:t>
      </w:r>
      <w:r>
        <w:rPr>
          <w:rFonts w:hint="eastAsia" w:ascii="Times New Roman" w:hAnsi="Times New Roman" w:eastAsiaTheme="minorEastAsia"/>
          <w:szCs w:val="21"/>
          <w:highlight w:val="none"/>
          <w:lang w:val="en-US" w:eastAsia="zh-CN"/>
        </w:rPr>
        <w:t>收锤标准</w:t>
      </w:r>
      <w:r>
        <w:rPr>
          <w:rFonts w:hint="default" w:ascii="Times New Roman" w:hAnsi="Times New Roman" w:eastAsiaTheme="minorEastAsia"/>
          <w:szCs w:val="21"/>
          <w:highlight w:val="none"/>
        </w:rPr>
        <w:t>应以</w:t>
      </w:r>
      <w:r>
        <w:rPr>
          <w:rFonts w:hint="eastAsia" w:ascii="Times New Roman" w:hAnsi="Times New Roman" w:eastAsiaTheme="minorEastAsia"/>
          <w:szCs w:val="21"/>
          <w:highlight w:val="none"/>
          <w:lang w:val="en-US" w:eastAsia="zh-CN"/>
        </w:rPr>
        <w:t>桩端标高</w:t>
      </w:r>
      <w:r>
        <w:rPr>
          <w:rFonts w:hint="default" w:ascii="Times New Roman" w:hAnsi="Times New Roman" w:eastAsiaTheme="minorEastAsia"/>
          <w:szCs w:val="21"/>
          <w:highlight w:val="none"/>
        </w:rPr>
        <w:t>控制为主，</w:t>
      </w:r>
      <w:r>
        <w:rPr>
          <w:rFonts w:hint="eastAsia" w:ascii="Times New Roman" w:hAnsi="Times New Roman" w:eastAsiaTheme="minorEastAsia"/>
          <w:szCs w:val="21"/>
          <w:highlight w:val="none"/>
          <w:lang w:val="en-US" w:eastAsia="zh-CN"/>
        </w:rPr>
        <w:t>贯入度</w:t>
      </w:r>
      <w:r>
        <w:rPr>
          <w:rFonts w:hint="default" w:ascii="Times New Roman" w:hAnsi="Times New Roman" w:eastAsiaTheme="minorEastAsia"/>
          <w:szCs w:val="21"/>
          <w:highlight w:val="none"/>
        </w:rPr>
        <w:t>控制为辅</w:t>
      </w:r>
      <w:r>
        <w:rPr>
          <w:rFonts w:hint="eastAsia" w:ascii="Times New Roman" w:hAnsi="Times New Roman" w:eastAsiaTheme="minorEastAsia"/>
          <w:szCs w:val="21"/>
          <w:highlight w:val="none"/>
          <w:lang w:eastAsia="zh-CN"/>
        </w:rPr>
        <w:t>，</w:t>
      </w:r>
      <w:r>
        <w:rPr>
          <w:rFonts w:hint="eastAsia" w:ascii="Times New Roman" w:hAnsi="Times New Roman" w:eastAsiaTheme="minorEastAsia"/>
          <w:szCs w:val="21"/>
          <w:highlight w:val="none"/>
          <w:lang w:val="en-US" w:eastAsia="zh-CN"/>
        </w:rPr>
        <w:t>当以贯入度控制为主时，</w:t>
      </w:r>
      <w:r>
        <w:rPr>
          <w:rFonts w:hint="default" w:ascii="Times New Roman" w:hAnsi="Times New Roman" w:eastAsiaTheme="minorEastAsia"/>
          <w:szCs w:val="21"/>
          <w:highlight w:val="none"/>
        </w:rPr>
        <w:t>最后贯入度不</w:t>
      </w:r>
      <w:r>
        <w:rPr>
          <w:rFonts w:hint="eastAsia" w:ascii="Times New Roman" w:hAnsi="Times New Roman" w:eastAsiaTheme="minorEastAsia"/>
          <w:szCs w:val="21"/>
          <w:highlight w:val="none"/>
          <w:lang w:val="en-US" w:eastAsia="zh-CN"/>
        </w:rPr>
        <w:t>宜小</w:t>
      </w:r>
      <w:r>
        <w:rPr>
          <w:rFonts w:hint="default" w:ascii="Times New Roman" w:hAnsi="Times New Roman" w:eastAsiaTheme="minorEastAsia"/>
          <w:szCs w:val="21"/>
          <w:highlight w:val="none"/>
        </w:rPr>
        <w:t>于60mm/10击。</w:t>
      </w:r>
    </w:p>
    <w:p w14:paraId="75DCA062">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8</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3</w:t>
      </w:r>
      <w:r>
        <w:rPr>
          <w:rFonts w:hint="default" w:ascii="Times New Roman" w:hAnsi="Times New Roman" w:eastAsiaTheme="minorEastAsia"/>
          <w:szCs w:val="21"/>
          <w:highlight w:val="none"/>
        </w:rPr>
        <w:t xml:space="preserve"> 采用静压法沉桩应符合下列规定：</w:t>
      </w:r>
    </w:p>
    <w:p w14:paraId="6CBC07DE">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压桩时压桩机应保持水平；</w:t>
      </w:r>
    </w:p>
    <w:p w14:paraId="238586F4">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预设终压标准可取单桩竖向承载力特征值的1.5~1.8倍，当持力层为砂层时，取小值</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当持力层为基岩时，取大值；</w:t>
      </w:r>
    </w:p>
    <w:p w14:paraId="1091AA6B">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宜连续一次性将桩沉到设计标高，中间停顿时间宜短，沉桩速度不宜大于2m/min；</w:t>
      </w:r>
    </w:p>
    <w:p w14:paraId="2513DC61">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hint="default"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lang w:val="en-US" w:eastAsia="zh-CN"/>
        </w:rPr>
        <w:t>终压控制标准</w:t>
      </w:r>
      <w:r>
        <w:rPr>
          <w:rFonts w:hint="default" w:ascii="Times New Roman" w:hAnsi="Times New Roman" w:eastAsiaTheme="minorEastAsia"/>
          <w:szCs w:val="21"/>
          <w:highlight w:val="none"/>
        </w:rPr>
        <w:t>应以</w:t>
      </w:r>
      <w:r>
        <w:rPr>
          <w:rFonts w:hint="eastAsia" w:ascii="Times New Roman" w:hAnsi="Times New Roman" w:eastAsiaTheme="minorEastAsia"/>
          <w:szCs w:val="21"/>
          <w:highlight w:val="none"/>
          <w:lang w:val="en-US" w:eastAsia="zh-CN"/>
        </w:rPr>
        <w:t>桩端标高控</w:t>
      </w:r>
      <w:r>
        <w:rPr>
          <w:rFonts w:hint="default" w:ascii="Times New Roman" w:hAnsi="Times New Roman" w:eastAsiaTheme="minorEastAsia"/>
          <w:szCs w:val="21"/>
          <w:highlight w:val="none"/>
        </w:rPr>
        <w:t>制为主，终</w:t>
      </w:r>
      <w:r>
        <w:rPr>
          <w:rFonts w:hint="eastAsia" w:ascii="Times New Roman" w:hAnsi="Times New Roman" w:eastAsiaTheme="minorEastAsia"/>
          <w:szCs w:val="21"/>
          <w:highlight w:val="none"/>
          <w:lang w:val="en-US" w:eastAsia="zh-CN"/>
        </w:rPr>
        <w:t>压</w:t>
      </w:r>
      <w:r>
        <w:rPr>
          <w:rFonts w:hint="default" w:ascii="Times New Roman" w:hAnsi="Times New Roman" w:eastAsiaTheme="minorEastAsia"/>
          <w:szCs w:val="21"/>
          <w:highlight w:val="none"/>
        </w:rPr>
        <w:t>力控制为辅；</w:t>
      </w:r>
    </w:p>
    <w:p w14:paraId="4DD75520">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当压桩力已达到终压力或桩端已达到设计标高时应采取稳压措施。</w:t>
      </w:r>
    </w:p>
    <w:p w14:paraId="2F77134B">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8</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4</w:t>
      </w:r>
      <w:r>
        <w:rPr>
          <w:rFonts w:hint="default" w:ascii="Times New Roman" w:hAnsi="Times New Roman" w:eastAsiaTheme="minorEastAsia"/>
          <w:szCs w:val="21"/>
          <w:highlight w:val="none"/>
        </w:rPr>
        <w:t xml:space="preserve"> 采用振动法沉桩应符合下列规定：</w:t>
      </w:r>
    </w:p>
    <w:p w14:paraId="0CC660FD">
      <w:pPr>
        <w:spacing w:line="312" w:lineRule="exact"/>
        <w:ind w:firstLine="420" w:firstLineChars="200"/>
        <w:rPr>
          <w:rFonts w:hint="default" w:ascii="Times New Roman" w:hAnsi="Times New Roman" w:eastAsiaTheme="minorEastAsia"/>
          <w:szCs w:val="21"/>
          <w:highlight w:val="none"/>
        </w:rPr>
      </w:pPr>
      <w:r>
        <w:rPr>
          <w:rFonts w:hint="default" w:ascii="Times New Roman" w:hAnsi="Times New Roman" w:eastAsiaTheme="minorEastAsia"/>
          <w:szCs w:val="21"/>
          <w:highlight w:val="none"/>
        </w:rPr>
        <w:t>终锤标准应以桩长控制为主，当桩长达不到设计标高时，以最后30s电流值控制，电流值的取值根据试桩或</w:t>
      </w:r>
      <w:r>
        <w:rPr>
          <w:rFonts w:hint="eastAsia" w:ascii="Times New Roman" w:hAnsi="Times New Roman" w:eastAsiaTheme="minorEastAsia"/>
          <w:szCs w:val="21"/>
          <w:highlight w:val="none"/>
          <w:lang w:val="en-US" w:eastAsia="zh-CN"/>
        </w:rPr>
        <w:t>工程</w:t>
      </w:r>
      <w:r>
        <w:rPr>
          <w:rFonts w:hint="default" w:ascii="Times New Roman" w:hAnsi="Times New Roman" w:eastAsiaTheme="minorEastAsia"/>
          <w:szCs w:val="21"/>
          <w:highlight w:val="none"/>
        </w:rPr>
        <w:t>经验确定。</w:t>
      </w:r>
    </w:p>
    <w:p w14:paraId="613C513C">
      <w:pPr>
        <w:spacing w:line="312" w:lineRule="exact"/>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8</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5</w:t>
      </w:r>
      <w:r>
        <w:rPr>
          <w:rFonts w:hint="default" w:ascii="Times New Roman" w:hAnsi="Times New Roman" w:eastAsiaTheme="minorEastAsia"/>
          <w:szCs w:val="21"/>
          <w:highlight w:val="none"/>
        </w:rPr>
        <w:t xml:space="preserve"> 送桩应符合下列规定：</w:t>
      </w:r>
    </w:p>
    <w:p w14:paraId="192DC47A">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送桩器宜为圆筒形，并应有足够的强度、刚度和耐打性，上下两端面应平整，且与送桩器中心轴线相垂直。送桩器长度应满足送桩深度的要求，器身弯曲度不得大于1/1000；</w:t>
      </w:r>
    </w:p>
    <w:p w14:paraId="14CC7E61">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当地表以下有较厚的淤泥土层时，送桩器应开孔排淤、排泥，送桩深度不宜超过</w:t>
      </w:r>
      <w:r>
        <w:rPr>
          <w:rFonts w:hint="eastAsia" w:ascii="Times New Roman" w:hAnsi="Times New Roman" w:eastAsiaTheme="minorEastAsia"/>
          <w:szCs w:val="21"/>
          <w:highlight w:val="none"/>
          <w:lang w:val="en-US" w:eastAsia="zh-CN"/>
        </w:rPr>
        <w:t>1</w:t>
      </w:r>
      <w:r>
        <w:rPr>
          <w:rFonts w:hint="default" w:ascii="Times New Roman" w:hAnsi="Times New Roman" w:eastAsiaTheme="minorEastAsia"/>
          <w:szCs w:val="21"/>
          <w:highlight w:val="none"/>
        </w:rPr>
        <w:t>2m；</w:t>
      </w:r>
    </w:p>
    <w:p w14:paraId="723920D1">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当桩顶打至接近地面需要送桩时，应测出桩的垂直度并检查桩头质量，合格后应立即送桩；</w:t>
      </w:r>
    </w:p>
    <w:p w14:paraId="6B0AEB33">
      <w:pPr>
        <w:spacing w:line="312" w:lineRule="exact"/>
        <w:ind w:firstLine="422" w:firstLineChars="200"/>
        <w:rPr>
          <w:rFonts w:hint="default" w:ascii="Times New Roman" w:hAnsi="Times New Roman" w:eastAsiaTheme="minorEastAsia"/>
          <w:szCs w:val="21"/>
          <w:highlight w:val="yellow"/>
        </w:rPr>
      </w:pPr>
      <w:r>
        <w:rPr>
          <w:rFonts w:hint="default" w:ascii="Times New Roman" w:hAnsi="Times New Roman" w:eastAsia="黑体"/>
          <w:b/>
          <w:bCs/>
          <w:kern w:val="0"/>
          <w:szCs w:val="21"/>
          <w:highlight w:val="none"/>
        </w:rPr>
        <w:t>4</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当地表以下无淤泥土层或有沉桩经验，且采取相应措施能保证桩身垂直度满足要求时，送桩深度可适当加大，超过12m时需编制专项施工方案。</w:t>
      </w:r>
    </w:p>
    <w:p w14:paraId="6E336828">
      <w:pPr>
        <w:spacing w:line="312" w:lineRule="exact"/>
        <w:rPr>
          <w:rFonts w:hint="default" w:ascii="Times New Roman" w:hAnsi="Times New Roman" w:eastAsiaTheme="minorEastAsia"/>
          <w:color w:val="0000FF"/>
          <w:szCs w:val="21"/>
          <w:highlight w:val="none"/>
          <w:lang w:eastAsia="zh-CN"/>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8</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6</w:t>
      </w:r>
      <w:r>
        <w:rPr>
          <w:rFonts w:hint="default" w:ascii="Times New Roman" w:hAnsi="Times New Roman" w:eastAsiaTheme="minorEastAsia"/>
          <w:szCs w:val="21"/>
          <w:highlight w:val="none"/>
        </w:rPr>
        <w:t xml:space="preserve"> 焊接接桩</w:t>
      </w:r>
      <w:r>
        <w:rPr>
          <w:rFonts w:hint="eastAsia" w:ascii="Times New Roman" w:hAnsi="Times New Roman" w:eastAsiaTheme="minorEastAsia"/>
          <w:szCs w:val="21"/>
          <w:highlight w:val="none"/>
          <w:lang w:val="en-US" w:eastAsia="zh-CN"/>
        </w:rPr>
        <w:t>除</w:t>
      </w:r>
      <w:r>
        <w:rPr>
          <w:rFonts w:hint="default" w:ascii="Times New Roman" w:hAnsi="Times New Roman" w:eastAsiaTheme="minorEastAsia"/>
          <w:szCs w:val="21"/>
          <w:highlight w:val="none"/>
        </w:rPr>
        <w:t>应符合现行国家标准《</w:t>
      </w:r>
      <w:r>
        <w:rPr>
          <w:rFonts w:hint="eastAsia" w:ascii="Times New Roman" w:hAnsi="Times New Roman" w:eastAsiaTheme="minorEastAsia"/>
          <w:szCs w:val="21"/>
          <w:highlight w:val="none"/>
          <w:lang w:eastAsia="zh-CN"/>
        </w:rPr>
        <w:t>钢结构工程施工质量验收标准</w:t>
      </w:r>
      <w:r>
        <w:rPr>
          <w:rFonts w:hint="default" w:ascii="Times New Roman" w:hAnsi="Times New Roman" w:eastAsiaTheme="minorEastAsia"/>
          <w:szCs w:val="21"/>
          <w:highlight w:val="none"/>
        </w:rPr>
        <w:t>》GB 50205中二级焊缝的规定外，尚应符合下列规定：</w:t>
      </w:r>
    </w:p>
    <w:p w14:paraId="6A611E75">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入土部分桩段的桩头宜高出地面</w:t>
      </w:r>
      <w:r>
        <w:rPr>
          <w:rFonts w:hint="eastAsia" w:ascii="Times New Roman" w:hAnsi="Times New Roman" w:eastAsiaTheme="minorEastAsia"/>
          <w:szCs w:val="21"/>
          <w:highlight w:val="none"/>
          <w:lang w:val="en-US" w:eastAsia="zh-CN"/>
        </w:rPr>
        <w:t>0.8m~</w:t>
      </w:r>
      <w:r>
        <w:rPr>
          <w:rFonts w:hint="default" w:ascii="Times New Roman" w:hAnsi="Times New Roman" w:eastAsiaTheme="minorEastAsia"/>
          <w:szCs w:val="21"/>
          <w:highlight w:val="none"/>
        </w:rPr>
        <w:t>1.0m；</w:t>
      </w:r>
    </w:p>
    <w:p w14:paraId="1629DEAF">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下节桩的桩头处宜设置导向箍或其他导向措施。接桩时，上、下节桩段应保持顺直，错位不超过2mm，逐节接桩时，节点弯曲矢高不得大于1/1000桩长，且不得大于20mm</w:t>
      </w:r>
      <w:r>
        <w:rPr>
          <w:rFonts w:hint="eastAsia" w:ascii="Times New Roman" w:hAnsi="Times New Roman" w:eastAsiaTheme="minorEastAsia"/>
          <w:szCs w:val="21"/>
          <w:highlight w:val="none"/>
          <w:lang w:eastAsia="zh-CN"/>
        </w:rPr>
        <w:t>；</w:t>
      </w:r>
    </w:p>
    <w:p w14:paraId="3DD98699">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上、下节桩接头端板坡口应洁净、干燥，且焊接处应刷至露出金属光泽；</w:t>
      </w:r>
    </w:p>
    <w:p w14:paraId="5B2BA73D">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hint="default" w:ascii="Times New Roman" w:hAnsi="Times New Roman" w:eastAsiaTheme="minorEastAsia"/>
          <w:szCs w:val="21"/>
          <w:highlight w:val="none"/>
        </w:rPr>
        <w:t xml:space="preserve"> 手工焊接时宜先在坡口四周上对称点焊4点～6点，待上、下节桩固定后拆除导向箍再分层焊接，焊接宜对称进行；</w:t>
      </w:r>
    </w:p>
    <w:p w14:paraId="3F1F44E8">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default" w:ascii="Times New Roman" w:hAnsi="Times New Roman" w:eastAsiaTheme="minorEastAsia"/>
          <w:szCs w:val="21"/>
          <w:highlight w:val="none"/>
        </w:rPr>
        <w:t xml:space="preserve"> 焊接层数不得少于2层，内层焊碴必须清理干净后方能施焊外层，焊缝应饱满连续；</w:t>
      </w:r>
    </w:p>
    <w:p w14:paraId="5C8A933B">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6</w:t>
      </w:r>
      <w:r>
        <w:rPr>
          <w:rFonts w:hint="default" w:ascii="Times New Roman" w:hAnsi="Times New Roman" w:eastAsiaTheme="minorEastAsia"/>
          <w:szCs w:val="21"/>
          <w:highlight w:val="none"/>
        </w:rPr>
        <w:t xml:space="preserve"> 手工电弧焊接时，第一层宜用φ3.2mm电焊条施焊，保证根部焊透。第二层可用粗焊条，宜采用E43型系列焊条；采用二氧化碳气体保护焊时，焊丝宜采用ER50-6型；</w:t>
      </w:r>
    </w:p>
    <w:p w14:paraId="5CF1DD42">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7</w:t>
      </w:r>
      <w:r>
        <w:rPr>
          <w:rFonts w:hint="default" w:ascii="Times New Roman" w:hAnsi="Times New Roman" w:eastAsiaTheme="minorEastAsia"/>
          <w:szCs w:val="21"/>
          <w:highlight w:val="none"/>
        </w:rPr>
        <w:t xml:space="preserve"> 桩接头焊好后应进行外观检查，检查合格后，方可继续沉桩，严禁浇水冷却</w:t>
      </w:r>
      <w:r>
        <w:rPr>
          <w:rFonts w:hint="eastAsia" w:ascii="Times New Roman" w:hAnsi="Times New Roman" w:eastAsiaTheme="minorEastAsia"/>
          <w:szCs w:val="21"/>
          <w:highlight w:val="none"/>
          <w:lang w:eastAsia="zh-CN"/>
        </w:rPr>
        <w:t>；</w:t>
      </w:r>
    </w:p>
    <w:p w14:paraId="7F27729F">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8</w:t>
      </w:r>
      <w:r>
        <w:rPr>
          <w:rFonts w:hint="default" w:ascii="Times New Roman" w:hAnsi="Times New Roman" w:eastAsiaTheme="minorEastAsia"/>
          <w:szCs w:val="21"/>
          <w:highlight w:val="none"/>
        </w:rPr>
        <w:t xml:space="preserve"> 钢桩尖或者混凝土桩尖宜在工厂内焊接；当在工地焊接时，宜在堆放现场焊接。严禁桩起吊后点焊、仰焊</w:t>
      </w:r>
      <w:r>
        <w:rPr>
          <w:rFonts w:hint="eastAsia" w:ascii="Times New Roman" w:hAnsi="Times New Roman" w:eastAsiaTheme="minorEastAsia"/>
          <w:szCs w:val="21"/>
          <w:highlight w:val="none"/>
          <w:lang w:eastAsia="zh-CN"/>
        </w:rPr>
        <w:t>；</w:t>
      </w:r>
    </w:p>
    <w:p w14:paraId="3996094C">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9</w:t>
      </w:r>
      <w:r>
        <w:rPr>
          <w:rFonts w:hint="default" w:ascii="Times New Roman" w:hAnsi="Times New Roman" w:eastAsiaTheme="minorEastAsia"/>
          <w:szCs w:val="21"/>
          <w:highlight w:val="none"/>
        </w:rPr>
        <w:t xml:space="preserve"> 雨天焊接时，应采取防雨措施</w:t>
      </w:r>
      <w:r>
        <w:rPr>
          <w:rFonts w:hint="eastAsia" w:ascii="Times New Roman" w:hAnsi="Times New Roman" w:eastAsiaTheme="minorEastAsia"/>
          <w:szCs w:val="21"/>
          <w:highlight w:val="none"/>
          <w:lang w:eastAsia="zh-CN"/>
        </w:rPr>
        <w:t>。</w:t>
      </w:r>
    </w:p>
    <w:p w14:paraId="3B85FB40">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8</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7</w:t>
      </w:r>
      <w:r>
        <w:rPr>
          <w:rFonts w:hint="default" w:ascii="Times New Roman" w:hAnsi="Times New Roman" w:eastAsiaTheme="minorEastAsia"/>
          <w:szCs w:val="21"/>
          <w:highlight w:val="none"/>
        </w:rPr>
        <w:t xml:space="preserve"> 采用抱箍式接头接桩时，应符合下列规定：</w:t>
      </w:r>
    </w:p>
    <w:p w14:paraId="127F3F36">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接桩前检查桩两端制作的尺寸偏差及连接件，无损伤后方可起吊施工，下节桩段的桩头宜高出地面0.8m～1.0m；</w:t>
      </w:r>
    </w:p>
    <w:p w14:paraId="7E701A53">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接桩时应清理上、下两节桩的端板和螺栓孔内残留物</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用扳手将定位销旋入</w:t>
      </w:r>
      <w:r>
        <w:rPr>
          <w:rFonts w:hint="eastAsia" w:ascii="Times New Roman" w:hAnsi="Times New Roman" w:eastAsiaTheme="minorEastAsia"/>
          <w:szCs w:val="21"/>
          <w:highlight w:val="none"/>
          <w:lang w:val="en-US" w:eastAsia="zh-CN"/>
        </w:rPr>
        <w:t>预制</w:t>
      </w:r>
      <w:r>
        <w:rPr>
          <w:rFonts w:hint="default" w:ascii="Times New Roman" w:hAnsi="Times New Roman" w:eastAsiaTheme="minorEastAsia"/>
          <w:szCs w:val="21"/>
          <w:highlight w:val="none"/>
        </w:rPr>
        <w:t>桩端板的螺栓孔内，定位销数量不得小于2个；</w:t>
      </w:r>
    </w:p>
    <w:p w14:paraId="4AB8176E">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rPr>
        <w:t xml:space="preserve"> 将上节</w:t>
      </w:r>
      <w:r>
        <w:rPr>
          <w:rFonts w:hint="eastAsia" w:ascii="Times New Roman" w:hAnsi="Times New Roman" w:eastAsiaTheme="minorEastAsia"/>
          <w:szCs w:val="21"/>
          <w:highlight w:val="none"/>
          <w:lang w:val="en-US" w:eastAsia="zh-CN"/>
        </w:rPr>
        <w:t>预制</w:t>
      </w:r>
      <w:r>
        <w:rPr>
          <w:rFonts w:hint="default" w:ascii="Times New Roman" w:hAnsi="Times New Roman" w:eastAsiaTheme="minorEastAsia"/>
          <w:szCs w:val="21"/>
          <w:highlight w:val="none"/>
        </w:rPr>
        <w:t>桩吊起，使连接孔与定位销对准，随即将定位销插入连接孔内；</w:t>
      </w:r>
    </w:p>
    <w:p w14:paraId="0824E476">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hint="default" w:ascii="Times New Roman" w:hAnsi="Times New Roman" w:eastAsiaTheme="minorEastAsia"/>
          <w:szCs w:val="21"/>
          <w:highlight w:val="none"/>
        </w:rPr>
        <w:t xml:space="preserve"> 逐一将机械连接卡卡入上、下节</w:t>
      </w:r>
      <w:r>
        <w:rPr>
          <w:rFonts w:hint="eastAsia" w:ascii="Times New Roman" w:hAnsi="Times New Roman" w:eastAsiaTheme="minorEastAsia"/>
          <w:szCs w:val="21"/>
          <w:highlight w:val="none"/>
          <w:lang w:val="en-US" w:eastAsia="zh-CN"/>
        </w:rPr>
        <w:t>预制</w:t>
      </w:r>
      <w:r>
        <w:rPr>
          <w:rFonts w:hint="default" w:ascii="Times New Roman" w:hAnsi="Times New Roman" w:eastAsiaTheme="minorEastAsia"/>
          <w:szCs w:val="21"/>
          <w:highlight w:val="none"/>
        </w:rPr>
        <w:t>桩突出桩身的端板上，并适度调整连接卡使连接卡和端板的螺栓孔对准。用手持电钻将固定螺栓旋入端板上的螺孔内固定连接卡，接桩完成。</w:t>
      </w:r>
    </w:p>
    <w:p w14:paraId="4D55DB05">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8</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8</w:t>
      </w:r>
      <w:r>
        <w:rPr>
          <w:rFonts w:hint="default" w:ascii="Times New Roman" w:hAnsi="Times New Roman" w:eastAsiaTheme="minorEastAsia"/>
          <w:szCs w:val="21"/>
          <w:highlight w:val="none"/>
        </w:rPr>
        <w:t xml:space="preserve"> 采用啮合式、膨胀咬合接头接桩时，应符合下列规定：</w:t>
      </w:r>
    </w:p>
    <w:p w14:paraId="17BBFC2B">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连接前，连接处的桩端端头板应先清理干净，将满涂沥青涂料的连接销用扳手逐根旋入</w:t>
      </w:r>
      <w:r>
        <w:rPr>
          <w:rFonts w:hint="eastAsia" w:ascii="Times New Roman" w:hAnsi="Times New Roman" w:eastAsiaTheme="minorEastAsia"/>
          <w:szCs w:val="21"/>
          <w:highlight w:val="none"/>
          <w:lang w:val="en-US" w:eastAsia="zh-CN"/>
        </w:rPr>
        <w:t>预制</w:t>
      </w:r>
      <w:r>
        <w:rPr>
          <w:rFonts w:hint="default" w:ascii="Times New Roman" w:hAnsi="Times New Roman" w:eastAsiaTheme="minorEastAsia"/>
          <w:szCs w:val="21"/>
          <w:highlight w:val="none"/>
        </w:rPr>
        <w:t>桩带孔端板的螺栓孔内，并用钢模型板检测调整连接销的方位；</w:t>
      </w:r>
    </w:p>
    <w:p w14:paraId="64A060E8">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剔除已就位</w:t>
      </w:r>
      <w:r>
        <w:rPr>
          <w:rFonts w:hint="eastAsia" w:ascii="Times New Roman" w:hAnsi="Times New Roman" w:eastAsiaTheme="minorEastAsia"/>
          <w:szCs w:val="21"/>
          <w:highlight w:val="none"/>
          <w:lang w:val="en-US" w:eastAsia="zh-CN"/>
        </w:rPr>
        <w:t>预制</w:t>
      </w:r>
      <w:r>
        <w:rPr>
          <w:rFonts w:hint="default" w:ascii="Times New Roman" w:hAnsi="Times New Roman" w:eastAsiaTheme="minorEastAsia"/>
          <w:szCs w:val="21"/>
          <w:highlight w:val="none"/>
        </w:rPr>
        <w:t>桩带槽端板连接槽内填塞的泡塑保护块，在连接槽内注入不少于0.5倍槽深的沥青涂料，并沿带槽端板外周边抹上宽度20mm、厚度3mm的沥青涂料。当</w:t>
      </w:r>
      <w:r>
        <w:rPr>
          <w:rFonts w:hint="eastAsia" w:ascii="Times New Roman" w:hAnsi="Times New Roman" w:eastAsiaTheme="minorEastAsia"/>
          <w:szCs w:val="21"/>
          <w:highlight w:val="none"/>
          <w:lang w:val="en-US" w:eastAsia="zh-CN"/>
        </w:rPr>
        <w:t>预制</w:t>
      </w:r>
      <w:r>
        <w:rPr>
          <w:rFonts w:hint="default" w:ascii="Times New Roman" w:hAnsi="Times New Roman" w:eastAsiaTheme="minorEastAsia"/>
          <w:szCs w:val="21"/>
          <w:highlight w:val="none"/>
        </w:rPr>
        <w:t>桩基础的地基土、地下水具有中、强腐蚀性时，带槽端板板面应满涂沥青涂料，厚度不应小于2mm；</w:t>
      </w:r>
    </w:p>
    <w:p w14:paraId="6EB82CDE">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rPr>
        <w:t xml:space="preserve"> 将上节</w:t>
      </w:r>
      <w:r>
        <w:rPr>
          <w:rFonts w:hint="eastAsia" w:ascii="Times New Roman" w:hAnsi="Times New Roman" w:eastAsiaTheme="minorEastAsia"/>
          <w:szCs w:val="21"/>
          <w:highlight w:val="none"/>
          <w:lang w:val="en-US" w:eastAsia="zh-CN"/>
        </w:rPr>
        <w:t>预制</w:t>
      </w:r>
      <w:r>
        <w:rPr>
          <w:rFonts w:hint="default" w:ascii="Times New Roman" w:hAnsi="Times New Roman" w:eastAsiaTheme="minorEastAsia"/>
          <w:szCs w:val="21"/>
          <w:highlight w:val="none"/>
        </w:rPr>
        <w:t>桩吊起，使连接销与带槽端板上的各个连接口对准，随即将连接销插入连接槽内；</w:t>
      </w:r>
    </w:p>
    <w:p w14:paraId="0770396B">
      <w:pPr>
        <w:spacing w:line="312" w:lineRule="exact"/>
        <w:ind w:firstLine="422" w:firstLineChars="200"/>
        <w:rPr>
          <w:rFonts w:hint="eastAsia"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4</w:t>
      </w:r>
      <w:r>
        <w:rPr>
          <w:rFonts w:hint="default" w:ascii="Times New Roman" w:hAnsi="Times New Roman" w:eastAsiaTheme="minorEastAsia"/>
          <w:szCs w:val="21"/>
          <w:highlight w:val="none"/>
        </w:rPr>
        <w:t xml:space="preserve"> 加压使上、下桩节的桩端端头板接触，接桩完成</w:t>
      </w:r>
      <w:r>
        <w:rPr>
          <w:rFonts w:hint="eastAsia" w:ascii="Times New Roman" w:hAnsi="Times New Roman" w:eastAsiaTheme="minorEastAsia"/>
          <w:szCs w:val="21"/>
          <w:highlight w:val="none"/>
          <w:lang w:eastAsia="zh-CN"/>
        </w:rPr>
        <w:t>。</w:t>
      </w:r>
    </w:p>
    <w:p w14:paraId="55028CA1">
      <w:pPr>
        <w:adjustRightInd w:val="0"/>
        <w:spacing w:line="312" w:lineRule="exact"/>
        <w:rPr>
          <w:rFonts w:ascii="Times New Roman" w:hAnsi="Times New Roman" w:eastAsia="方正黑体简体"/>
          <w:szCs w:val="21"/>
          <w:highlight w:val="none"/>
        </w:rPr>
      </w:pPr>
      <w:r>
        <w:rPr>
          <w:rFonts w:hint="default" w:ascii="Times New Roman" w:hAnsi="Times New Roman" w:eastAsia="黑体"/>
          <w:b/>
          <w:bCs/>
          <w:kern w:val="0"/>
          <w:szCs w:val="21"/>
          <w:highlight w:val="none"/>
        </w:rPr>
        <w:t>5.</w:t>
      </w:r>
      <w:r>
        <w:rPr>
          <w:rFonts w:hint="eastAsia" w:ascii="Times New Roman" w:hAnsi="Times New Roman" w:eastAsia="黑体"/>
          <w:b/>
          <w:bCs/>
          <w:kern w:val="0"/>
          <w:szCs w:val="21"/>
          <w:highlight w:val="none"/>
          <w:lang w:val="en-US" w:eastAsia="zh-CN"/>
        </w:rPr>
        <w:t>8</w:t>
      </w:r>
      <w:r>
        <w:rPr>
          <w:rFonts w:hint="default" w:ascii="Times New Roman" w:hAnsi="Times New Roman" w:eastAsia="黑体"/>
          <w:b/>
          <w:bCs/>
          <w:kern w:val="0"/>
          <w:szCs w:val="21"/>
          <w:highlight w:val="none"/>
        </w:rPr>
        <w:t>.</w:t>
      </w:r>
      <w:r>
        <w:rPr>
          <w:rFonts w:hint="eastAsia" w:ascii="Times New Roman" w:hAnsi="Times New Roman" w:eastAsia="黑体"/>
          <w:b/>
          <w:bCs/>
          <w:kern w:val="0"/>
          <w:szCs w:val="21"/>
          <w:highlight w:val="none"/>
          <w:lang w:val="en-US" w:eastAsia="zh-CN"/>
        </w:rPr>
        <w:t>9</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w:t>
      </w:r>
      <w:r>
        <w:rPr>
          <w:rFonts w:hint="default" w:ascii="Times New Roman" w:hAnsi="Times New Roman" w:eastAsiaTheme="minorEastAsia"/>
          <w:szCs w:val="21"/>
          <w:highlight w:val="none"/>
        </w:rPr>
        <w:t>桩截桩应采用专用锯桩器，严禁采用大锤横向敲击截桩或强行扳拉截桩。</w:t>
      </w:r>
    </w:p>
    <w:p w14:paraId="6A28CA8A">
      <w:pPr>
        <w:pStyle w:val="2"/>
        <w:spacing w:before="156" w:after="156"/>
        <w:rPr>
          <w:rFonts w:ascii="Times New Roman" w:hAnsi="Times New Roman"/>
          <w:highlight w:val="none"/>
        </w:rPr>
      </w:pPr>
      <w:bookmarkStart w:id="110" w:name="_Toc246392736"/>
      <w:bookmarkStart w:id="111" w:name="_Toc478803289"/>
      <w:bookmarkStart w:id="112" w:name="_Toc478810147"/>
      <w:bookmarkStart w:id="113" w:name="_Toc246820952"/>
      <w:bookmarkStart w:id="114" w:name="__x000F_6 质量检测及验收"/>
      <w:bookmarkStart w:id="115" w:name="__x000F_6 质量检测及验收"/>
      <w:r>
        <w:rPr>
          <w:rFonts w:ascii="Times New Roman" w:hAnsi="Times New Roman"/>
          <w:highlight w:val="none"/>
        </w:rPr>
        <w:br w:type="page"/>
      </w:r>
      <w:bookmarkStart w:id="116" w:name="_Toc26738"/>
      <w:bookmarkStart w:id="117" w:name="_Toc7573"/>
      <w:bookmarkStart w:id="118" w:name="_Toc4794"/>
      <w:r>
        <w:rPr>
          <w:rFonts w:hint="default" w:ascii="Times New Roman" w:hAnsi="Times New Roman"/>
          <w:b/>
          <w:bCs w:val="0"/>
          <w:highlight w:val="none"/>
        </w:rPr>
        <w:t>6</w:t>
      </w:r>
      <w:r>
        <w:rPr>
          <w:rFonts w:ascii="Times New Roman" w:hAnsi="Times New Roman"/>
          <w:highlight w:val="none"/>
        </w:rPr>
        <w:t xml:space="preserve"> </w:t>
      </w:r>
      <w:r>
        <w:rPr>
          <w:rFonts w:hint="default" w:ascii="Times New Roman" w:hAnsi="Times New Roman"/>
          <w:highlight w:val="none"/>
          <w:lang w:val="en-US" w:eastAsia="zh-CN"/>
        </w:rPr>
        <w:t>质量</w:t>
      </w:r>
      <w:r>
        <w:rPr>
          <w:rFonts w:hint="eastAsia" w:ascii="Times New Roman" w:hAnsi="Times New Roman"/>
          <w:highlight w:val="none"/>
          <w:lang w:val="en-US" w:eastAsia="zh-CN"/>
        </w:rPr>
        <w:t>检测</w:t>
      </w:r>
      <w:r>
        <w:rPr>
          <w:rFonts w:hint="default" w:ascii="Times New Roman" w:hAnsi="Times New Roman"/>
          <w:highlight w:val="none"/>
          <w:lang w:val="en-US" w:eastAsia="zh-CN"/>
        </w:rPr>
        <w:t>及验收</w:t>
      </w:r>
      <w:bookmarkEnd w:id="110"/>
      <w:bookmarkEnd w:id="111"/>
      <w:bookmarkEnd w:id="112"/>
      <w:bookmarkEnd w:id="113"/>
      <w:bookmarkEnd w:id="116"/>
      <w:bookmarkEnd w:id="117"/>
      <w:bookmarkEnd w:id="118"/>
    </w:p>
    <w:bookmarkEnd w:id="114"/>
    <w:bookmarkEnd w:id="115"/>
    <w:p w14:paraId="504341F2">
      <w:pPr>
        <w:pStyle w:val="3"/>
        <w:spacing w:before="312" w:after="312"/>
        <w:rPr>
          <w:rFonts w:ascii="Times New Roman" w:hAnsi="Times New Roman" w:cs="Times New Roman"/>
          <w:highlight w:val="none"/>
        </w:rPr>
      </w:pPr>
      <w:bookmarkStart w:id="119" w:name="_Toc270661501"/>
      <w:bookmarkStart w:id="120" w:name="_Toc19274"/>
      <w:bookmarkStart w:id="121" w:name="_Toc243115370"/>
      <w:bookmarkStart w:id="122" w:name="_Toc243267524"/>
      <w:bookmarkStart w:id="123" w:name="_Toc31467"/>
      <w:bookmarkStart w:id="124" w:name="_Toc478803290"/>
      <w:bookmarkStart w:id="125" w:name="_Toc29065"/>
      <w:bookmarkStart w:id="126" w:name="_Toc243115581"/>
      <w:bookmarkStart w:id="127" w:name="_Toc243267572"/>
      <w:bookmarkStart w:id="128" w:name="_Toc243115934"/>
      <w:bookmarkStart w:id="129" w:name="_Toc478810148"/>
      <w:bookmarkStart w:id="130" w:name="_Toc243114806"/>
      <w:bookmarkStart w:id="131" w:name="_6.1 一般规定"/>
      <w:r>
        <w:rPr>
          <w:rFonts w:hint="default" w:ascii="Times New Roman" w:hAnsi="Times New Roman" w:cs="Times New Roman"/>
          <w:b/>
          <w:bCs w:val="0"/>
          <w:highlight w:val="none"/>
        </w:rPr>
        <w:t>6.1</w:t>
      </w:r>
      <w:r>
        <w:rPr>
          <w:rFonts w:hint="default" w:ascii="Times New Roman" w:hAnsi="Times New Roman" w:cs="Times New Roman"/>
          <w:highlight w:val="none"/>
        </w:rPr>
        <w:t xml:space="preserve"> 一般规定</w:t>
      </w:r>
      <w:bookmarkEnd w:id="119"/>
      <w:bookmarkEnd w:id="120"/>
      <w:bookmarkEnd w:id="121"/>
      <w:bookmarkEnd w:id="122"/>
      <w:bookmarkEnd w:id="123"/>
      <w:bookmarkEnd w:id="124"/>
      <w:bookmarkEnd w:id="125"/>
      <w:bookmarkEnd w:id="126"/>
      <w:bookmarkEnd w:id="127"/>
      <w:bookmarkEnd w:id="128"/>
      <w:bookmarkEnd w:id="129"/>
      <w:bookmarkEnd w:id="130"/>
    </w:p>
    <w:bookmarkEnd w:id="131"/>
    <w:p w14:paraId="05DD5E2D">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6.1.1</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lang w:val="en-US" w:eastAsia="zh-CN"/>
        </w:rPr>
        <w:t>质量</w:t>
      </w:r>
      <w:r>
        <w:rPr>
          <w:rFonts w:hint="eastAsia" w:ascii="Times New Roman" w:hAnsi="Times New Roman" w:eastAsiaTheme="minorEastAsia"/>
          <w:szCs w:val="21"/>
          <w:highlight w:val="none"/>
          <w:lang w:val="en-US" w:eastAsia="zh-CN"/>
        </w:rPr>
        <w:t>检测</w:t>
      </w:r>
      <w:r>
        <w:rPr>
          <w:rFonts w:hint="default" w:ascii="Times New Roman" w:hAnsi="Times New Roman" w:eastAsiaTheme="minorEastAsia"/>
          <w:strike w:val="0"/>
          <w:dstrike w:val="0"/>
          <w:szCs w:val="21"/>
          <w:highlight w:val="none"/>
          <w:lang w:val="en-US" w:eastAsia="zh-CN"/>
        </w:rPr>
        <w:t>可分为三个阶段：</w:t>
      </w:r>
      <w:r>
        <w:rPr>
          <w:rFonts w:hint="default" w:ascii="Times New Roman" w:hAnsi="Times New Roman" w:eastAsiaTheme="minorEastAsia"/>
          <w:szCs w:val="21"/>
          <w:highlight w:val="none"/>
          <w:lang w:val="en-US" w:eastAsia="zh-CN"/>
        </w:rPr>
        <w:t>施工前</w:t>
      </w:r>
      <w:r>
        <w:rPr>
          <w:rFonts w:hint="eastAsia" w:ascii="Times New Roman" w:hAnsi="Times New Roman" w:eastAsiaTheme="minorEastAsia"/>
          <w:szCs w:val="21"/>
          <w:highlight w:val="none"/>
          <w:lang w:val="en-US" w:eastAsia="zh-CN"/>
        </w:rPr>
        <w:t>检测</w:t>
      </w:r>
      <w:r>
        <w:rPr>
          <w:rFonts w:hint="default" w:ascii="Times New Roman" w:hAnsi="Times New Roman" w:eastAsiaTheme="minorEastAsia"/>
          <w:szCs w:val="21"/>
          <w:highlight w:val="none"/>
          <w:lang w:val="en-US" w:eastAsia="zh-CN"/>
        </w:rPr>
        <w:t>、施工中</w:t>
      </w:r>
      <w:r>
        <w:rPr>
          <w:rFonts w:hint="eastAsia" w:ascii="Times New Roman" w:hAnsi="Times New Roman" w:eastAsiaTheme="minorEastAsia"/>
          <w:szCs w:val="21"/>
          <w:highlight w:val="none"/>
          <w:lang w:val="en-US" w:eastAsia="zh-CN"/>
        </w:rPr>
        <w:t>检测</w:t>
      </w:r>
      <w:r>
        <w:rPr>
          <w:rFonts w:hint="default" w:ascii="Times New Roman" w:hAnsi="Times New Roman" w:eastAsiaTheme="minorEastAsia"/>
          <w:szCs w:val="21"/>
          <w:highlight w:val="none"/>
          <w:lang w:val="en-US" w:eastAsia="zh-CN"/>
        </w:rPr>
        <w:t>和施工后</w:t>
      </w:r>
      <w:r>
        <w:rPr>
          <w:rFonts w:hint="eastAsia" w:ascii="Times New Roman" w:hAnsi="Times New Roman" w:eastAsiaTheme="minorEastAsia"/>
          <w:szCs w:val="21"/>
          <w:highlight w:val="none"/>
          <w:lang w:val="en-US" w:eastAsia="zh-CN"/>
        </w:rPr>
        <w:t>检测</w:t>
      </w:r>
      <w:r>
        <w:rPr>
          <w:rFonts w:hint="default" w:ascii="Times New Roman" w:hAnsi="Times New Roman" w:eastAsiaTheme="minorEastAsia"/>
          <w:szCs w:val="21"/>
          <w:highlight w:val="none"/>
        </w:rPr>
        <w:t>。</w:t>
      </w:r>
    </w:p>
    <w:p w14:paraId="7AD81916">
      <w:pPr>
        <w:spacing w:line="312" w:lineRule="exact"/>
        <w:rPr>
          <w:rFonts w:hint="default" w:ascii="Times New Roman" w:hAnsi="Times New Roman" w:eastAsiaTheme="minorEastAsia"/>
          <w:szCs w:val="21"/>
          <w:highlight w:val="none"/>
          <w:lang w:val="en-US"/>
        </w:rPr>
      </w:pPr>
      <w:r>
        <w:rPr>
          <w:rFonts w:hint="default" w:ascii="Times New Roman" w:hAnsi="Times New Roman" w:eastAsia="黑体"/>
          <w:b/>
          <w:bCs/>
          <w:kern w:val="0"/>
          <w:szCs w:val="21"/>
          <w:highlight w:val="none"/>
        </w:rPr>
        <w:t>6.1.</w:t>
      </w:r>
      <w:r>
        <w:rPr>
          <w:rFonts w:hint="default" w:ascii="Times New Roman" w:hAnsi="Times New Roman" w:eastAsia="黑体"/>
          <w:b/>
          <w:bCs/>
          <w:kern w:val="0"/>
          <w:szCs w:val="21"/>
          <w:highlight w:val="none"/>
          <w:lang w:val="en-US" w:eastAsia="zh-CN"/>
        </w:rPr>
        <w:t>2</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芯桩质量宜进行抽检，当工程规模较大、施工方法不同或使用不同生产厂家的管桩时，可将单位工程划分为若干个</w:t>
      </w:r>
      <w:r>
        <w:rPr>
          <w:rFonts w:hint="eastAsia" w:ascii="Times New Roman" w:hAnsi="Times New Roman" w:eastAsiaTheme="minorEastAsia"/>
          <w:szCs w:val="21"/>
          <w:highlight w:val="none"/>
          <w:lang w:eastAsia="zh-CN"/>
        </w:rPr>
        <w:t>检测</w:t>
      </w:r>
      <w:r>
        <w:rPr>
          <w:rFonts w:hint="default" w:ascii="Times New Roman" w:hAnsi="Times New Roman" w:eastAsiaTheme="minorEastAsia"/>
          <w:szCs w:val="21"/>
          <w:highlight w:val="none"/>
        </w:rPr>
        <w:t>批，并按</w:t>
      </w:r>
      <w:r>
        <w:rPr>
          <w:rFonts w:hint="eastAsia" w:ascii="Times New Roman" w:hAnsi="Times New Roman" w:eastAsiaTheme="minorEastAsia"/>
          <w:szCs w:val="21"/>
          <w:highlight w:val="none"/>
          <w:lang w:eastAsia="zh-CN"/>
        </w:rPr>
        <w:t>检测</w:t>
      </w:r>
      <w:r>
        <w:rPr>
          <w:rFonts w:hint="default" w:ascii="Times New Roman" w:hAnsi="Times New Roman" w:eastAsiaTheme="minorEastAsia"/>
          <w:szCs w:val="21"/>
          <w:highlight w:val="none"/>
        </w:rPr>
        <w:t>批进行抽检。芯桩</w:t>
      </w:r>
      <w:r>
        <w:rPr>
          <w:rFonts w:hint="eastAsia"/>
          <w:highlight w:val="none"/>
          <w:lang w:val="en-US" w:eastAsia="zh-CN"/>
        </w:rPr>
        <w:t>应符合产品标准及设计要求。</w:t>
      </w:r>
    </w:p>
    <w:p w14:paraId="4DC6FBD0">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6.1.</w:t>
      </w:r>
      <w:r>
        <w:rPr>
          <w:rFonts w:hint="default" w:ascii="Times New Roman" w:hAnsi="Times New Roman" w:eastAsia="黑体"/>
          <w:b/>
          <w:bCs/>
          <w:kern w:val="0"/>
          <w:szCs w:val="21"/>
          <w:highlight w:val="none"/>
          <w:lang w:val="en-US" w:eastAsia="zh-CN"/>
        </w:rPr>
        <w:t>3</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预制桩植桩应进行</w:t>
      </w:r>
      <w:r>
        <w:rPr>
          <w:rFonts w:hint="default" w:ascii="Times New Roman" w:hAnsi="Times New Roman" w:eastAsiaTheme="minorEastAsia"/>
          <w:szCs w:val="21"/>
          <w:highlight w:val="none"/>
        </w:rPr>
        <w:t>桩身完整性和承载力检测</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检测数量和检测方法应按现行行业标准《建筑基桩检测技术规范》JGJ 106相关规定执行。</w:t>
      </w:r>
    </w:p>
    <w:p w14:paraId="4A8C5033">
      <w:pPr>
        <w:pStyle w:val="3"/>
        <w:spacing w:before="312" w:after="312"/>
        <w:rPr>
          <w:rFonts w:hint="default" w:ascii="Times New Roman" w:hAnsi="Times New Roman"/>
          <w:highlight w:val="none"/>
          <w:lang w:val="en-US"/>
        </w:rPr>
      </w:pPr>
      <w:bookmarkStart w:id="132" w:name="_Toc243267526"/>
      <w:bookmarkStart w:id="133" w:name="_Toc270661503"/>
      <w:bookmarkStart w:id="134" w:name="_Toc478810149"/>
      <w:bookmarkStart w:id="135" w:name="_Toc478803291"/>
      <w:bookmarkStart w:id="136" w:name="_Toc16583"/>
      <w:bookmarkStart w:id="137" w:name="_Toc243267574"/>
      <w:bookmarkStart w:id="138" w:name="_Toc243115936"/>
      <w:bookmarkStart w:id="139" w:name="_Toc243115583"/>
      <w:bookmarkStart w:id="140" w:name="_Toc10652"/>
      <w:bookmarkStart w:id="141" w:name="_Toc22154"/>
      <w:bookmarkStart w:id="142" w:name="_6.2 施工前检测"/>
      <w:r>
        <w:rPr>
          <w:rFonts w:hint="default" w:ascii="Times New Roman" w:hAnsi="Times New Roman"/>
          <w:b/>
          <w:bCs w:val="0"/>
          <w:highlight w:val="none"/>
        </w:rPr>
        <w:t>6</w:t>
      </w:r>
      <w:r>
        <w:rPr>
          <w:rFonts w:ascii="Times New Roman" w:hAnsi="Times New Roman"/>
          <w:b/>
          <w:bCs w:val="0"/>
          <w:highlight w:val="none"/>
        </w:rPr>
        <w:t>.2</w:t>
      </w:r>
      <w:r>
        <w:rPr>
          <w:rFonts w:ascii="Times New Roman" w:hAnsi="Times New Roman"/>
          <w:highlight w:val="none"/>
        </w:rPr>
        <w:t xml:space="preserve"> </w:t>
      </w:r>
      <w:r>
        <w:rPr>
          <w:rFonts w:hint="default" w:ascii="Times New Roman" w:hAnsi="Times New Roman"/>
          <w:highlight w:val="none"/>
          <w:lang w:val="en-US" w:eastAsia="zh-CN"/>
        </w:rPr>
        <w:t>施工前</w:t>
      </w:r>
      <w:bookmarkEnd w:id="132"/>
      <w:bookmarkEnd w:id="133"/>
      <w:bookmarkEnd w:id="134"/>
      <w:bookmarkEnd w:id="135"/>
      <w:bookmarkEnd w:id="136"/>
      <w:bookmarkEnd w:id="137"/>
      <w:bookmarkEnd w:id="138"/>
      <w:bookmarkEnd w:id="139"/>
      <w:r>
        <w:rPr>
          <w:rFonts w:hint="default" w:ascii="Times New Roman" w:hAnsi="Times New Roman"/>
          <w:highlight w:val="none"/>
          <w:lang w:val="en-US" w:eastAsia="zh-CN"/>
        </w:rPr>
        <w:t>检测</w:t>
      </w:r>
      <w:bookmarkEnd w:id="140"/>
      <w:bookmarkEnd w:id="141"/>
    </w:p>
    <w:bookmarkEnd w:id="142"/>
    <w:p w14:paraId="66C053E9">
      <w:pPr>
        <w:tabs>
          <w:tab w:val="left" w:pos="900"/>
        </w:tabs>
        <w:spacing w:line="312" w:lineRule="exact"/>
        <w:rPr>
          <w:rFonts w:hint="default" w:ascii="Times New Roman" w:hAnsi="Times New Roman" w:eastAsiaTheme="minorEastAsia"/>
          <w:szCs w:val="21"/>
          <w:highlight w:val="none"/>
        </w:rPr>
      </w:pPr>
      <w:bookmarkStart w:id="143" w:name="_Toc20704"/>
      <w:r>
        <w:rPr>
          <w:rFonts w:hint="default" w:ascii="Times New Roman" w:hAnsi="Times New Roman" w:eastAsia="黑体"/>
          <w:b/>
          <w:bCs/>
          <w:kern w:val="0"/>
          <w:szCs w:val="21"/>
          <w:highlight w:val="none"/>
        </w:rPr>
        <w:t>6.2.1</w:t>
      </w:r>
      <w:r>
        <w:rPr>
          <w:rFonts w:ascii="Times New Roman" w:hAnsi="Times New Roman" w:eastAsiaTheme="minorEastAsia"/>
          <w:szCs w:val="21"/>
          <w:highlight w:val="none"/>
        </w:rPr>
        <w:t xml:space="preserve"> </w:t>
      </w:r>
      <w:bookmarkEnd w:id="143"/>
      <w:r>
        <w:rPr>
          <w:rFonts w:hint="default" w:ascii="Times New Roman" w:hAnsi="Times New Roman" w:eastAsiaTheme="minorEastAsia"/>
          <w:szCs w:val="21"/>
          <w:highlight w:val="none"/>
        </w:rPr>
        <w:t>施工前对运到现场的芯桩成品质量</w:t>
      </w:r>
      <w:r>
        <w:rPr>
          <w:rFonts w:hint="eastAsia"/>
          <w:lang w:val="en-US" w:eastAsia="zh-CN"/>
        </w:rPr>
        <w:t>按产品标准和设计要求进行进场验收。</w:t>
      </w:r>
    </w:p>
    <w:p w14:paraId="7990DEA7">
      <w:pPr>
        <w:tabs>
          <w:tab w:val="left" w:pos="900"/>
        </w:tabs>
        <w:spacing w:line="312" w:lineRule="exact"/>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rPr>
        <w:t>6.2.</w:t>
      </w:r>
      <w:r>
        <w:rPr>
          <w:rFonts w:hint="default" w:ascii="Times New Roman" w:hAnsi="Times New Roman" w:eastAsia="黑体"/>
          <w:b/>
          <w:bCs/>
          <w:kern w:val="0"/>
          <w:szCs w:val="21"/>
          <w:highlight w:val="none"/>
          <w:lang w:val="en-US" w:eastAsia="zh-CN"/>
        </w:rPr>
        <w:t>2</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施工前应对水泥、</w:t>
      </w:r>
      <w:r>
        <w:rPr>
          <w:rFonts w:hint="eastAsia" w:ascii="Times New Roman" w:hAnsi="Times New Roman" w:eastAsiaTheme="minorEastAsia"/>
          <w:szCs w:val="21"/>
          <w:highlight w:val="none"/>
          <w:lang w:val="en-US" w:eastAsia="zh-CN"/>
        </w:rPr>
        <w:t>固化剂、</w:t>
      </w:r>
      <w:r>
        <w:t>砂、石子、钢筋</w:t>
      </w:r>
      <w:r>
        <w:rPr>
          <w:rFonts w:hint="eastAsia"/>
          <w:lang w:eastAsia="zh-CN"/>
        </w:rPr>
        <w:t>、</w:t>
      </w:r>
      <w:r>
        <w:rPr>
          <w:rFonts w:hint="default" w:ascii="Times New Roman" w:hAnsi="Times New Roman" w:eastAsiaTheme="minorEastAsia"/>
          <w:szCs w:val="21"/>
          <w:highlight w:val="none"/>
        </w:rPr>
        <w:t>外掺剂、接桩用材料等产品质量进行</w:t>
      </w:r>
      <w:r>
        <w:rPr>
          <w:rFonts w:hint="eastAsia" w:ascii="Times New Roman" w:hAnsi="Times New Roman" w:eastAsiaTheme="minorEastAsia"/>
          <w:szCs w:val="21"/>
          <w:highlight w:val="none"/>
          <w:lang w:eastAsia="zh-CN"/>
        </w:rPr>
        <w:t>检测</w:t>
      </w:r>
      <w:r>
        <w:rPr>
          <w:rFonts w:hint="default" w:ascii="Times New Roman" w:hAnsi="Times New Roman" w:eastAsiaTheme="minorEastAsia"/>
          <w:szCs w:val="21"/>
          <w:highlight w:val="none"/>
        </w:rPr>
        <w:t>。</w:t>
      </w:r>
    </w:p>
    <w:p w14:paraId="292F0650">
      <w:pPr>
        <w:tabs>
          <w:tab w:val="left" w:pos="900"/>
        </w:tabs>
        <w:spacing w:line="312" w:lineRule="exact"/>
        <w:rPr>
          <w:rFonts w:hint="default" w:ascii="Times New Roman" w:hAnsi="Times New Roman" w:eastAsiaTheme="minorEastAsia"/>
          <w:color w:val="0000FF"/>
          <w:szCs w:val="21"/>
          <w:highlight w:val="none"/>
          <w:lang w:eastAsia="zh-CN"/>
        </w:rPr>
      </w:pPr>
      <w:r>
        <w:rPr>
          <w:rFonts w:hint="default" w:ascii="Times New Roman" w:hAnsi="Times New Roman" w:eastAsia="黑体"/>
          <w:b/>
          <w:bCs/>
          <w:kern w:val="0"/>
          <w:szCs w:val="21"/>
          <w:highlight w:val="none"/>
        </w:rPr>
        <w:t>6.2.</w:t>
      </w:r>
      <w:r>
        <w:rPr>
          <w:rFonts w:hint="default" w:ascii="Times New Roman" w:hAnsi="Times New Roman" w:eastAsia="黑体"/>
          <w:b/>
          <w:bCs/>
          <w:kern w:val="0"/>
          <w:szCs w:val="21"/>
          <w:highlight w:val="none"/>
          <w:lang w:val="en-US" w:eastAsia="zh-CN"/>
        </w:rPr>
        <w:t>3</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施工前应对施工机械设备及性能进行</w:t>
      </w:r>
      <w:r>
        <w:rPr>
          <w:rFonts w:hint="eastAsia" w:ascii="Times New Roman" w:hAnsi="Times New Roman" w:eastAsiaTheme="minorEastAsia"/>
          <w:szCs w:val="21"/>
          <w:highlight w:val="none"/>
          <w:lang w:eastAsia="zh-CN"/>
        </w:rPr>
        <w:t>检测</w:t>
      </w:r>
      <w:r>
        <w:rPr>
          <w:rFonts w:hint="default" w:ascii="Times New Roman" w:hAnsi="Times New Roman" w:eastAsiaTheme="minorEastAsia"/>
          <w:szCs w:val="21"/>
          <w:highlight w:val="none"/>
        </w:rPr>
        <w:t>。</w:t>
      </w:r>
    </w:p>
    <w:p w14:paraId="198D5B2C">
      <w:pPr>
        <w:tabs>
          <w:tab w:val="left" w:pos="900"/>
        </w:tabs>
        <w:spacing w:line="312" w:lineRule="exact"/>
        <w:rPr>
          <w:rFonts w:hint="default" w:ascii="Times New Roman" w:hAnsi="Times New Roman" w:eastAsiaTheme="minorEastAsia"/>
          <w:color w:val="auto"/>
          <w:szCs w:val="21"/>
          <w:highlight w:val="none"/>
          <w:lang w:eastAsia="zh-CN"/>
        </w:rPr>
      </w:pPr>
      <w:r>
        <w:rPr>
          <w:rFonts w:hint="default" w:ascii="Times New Roman" w:hAnsi="Times New Roman" w:eastAsia="黑体"/>
          <w:b/>
          <w:bCs/>
          <w:color w:val="auto"/>
          <w:kern w:val="0"/>
          <w:szCs w:val="21"/>
          <w:highlight w:val="none"/>
        </w:rPr>
        <w:t>6.2.</w:t>
      </w:r>
      <w:r>
        <w:rPr>
          <w:rFonts w:hint="default" w:ascii="Times New Roman" w:hAnsi="Times New Roman" w:eastAsia="黑体"/>
          <w:b/>
          <w:bCs/>
          <w:color w:val="auto"/>
          <w:kern w:val="0"/>
          <w:szCs w:val="21"/>
          <w:highlight w:val="none"/>
          <w:lang w:val="en-US" w:eastAsia="zh-CN"/>
        </w:rPr>
        <w:t>4</w:t>
      </w:r>
      <w:r>
        <w:rPr>
          <w:rFonts w:ascii="Times New Roman" w:hAnsi="Times New Roman" w:eastAsiaTheme="minorEastAsia"/>
          <w:color w:val="auto"/>
          <w:szCs w:val="21"/>
          <w:highlight w:val="none"/>
        </w:rPr>
        <w:t xml:space="preserve"> </w:t>
      </w:r>
      <w:r>
        <w:rPr>
          <w:rFonts w:hint="default" w:ascii="Times New Roman" w:hAnsi="Times New Roman" w:eastAsiaTheme="minorEastAsia"/>
          <w:color w:val="auto"/>
          <w:szCs w:val="21"/>
          <w:highlight w:val="none"/>
        </w:rPr>
        <w:t>施工前应对桩位放样偏差进行</w:t>
      </w:r>
      <w:r>
        <w:rPr>
          <w:rFonts w:hint="eastAsia" w:ascii="Times New Roman" w:hAnsi="Times New Roman" w:eastAsiaTheme="minorEastAsia"/>
          <w:color w:val="auto"/>
          <w:szCs w:val="21"/>
          <w:highlight w:val="none"/>
          <w:lang w:eastAsia="zh-CN"/>
        </w:rPr>
        <w:t>检测</w:t>
      </w:r>
      <w:r>
        <w:rPr>
          <w:rFonts w:hint="default" w:ascii="Times New Roman" w:hAnsi="Times New Roman" w:eastAsiaTheme="minorEastAsia"/>
          <w:color w:val="auto"/>
          <w:szCs w:val="21"/>
          <w:highlight w:val="none"/>
        </w:rPr>
        <w:t>。</w:t>
      </w:r>
    </w:p>
    <w:p w14:paraId="2B4385B1">
      <w:pPr>
        <w:pStyle w:val="3"/>
        <w:spacing w:before="312" w:after="312"/>
        <w:rPr>
          <w:rFonts w:hint="default" w:ascii="Times New Roman" w:hAnsi="Times New Roman"/>
          <w:highlight w:val="none"/>
          <w:lang w:val="en-US"/>
        </w:rPr>
      </w:pPr>
      <w:bookmarkStart w:id="144" w:name="_Toc478810150"/>
      <w:bookmarkStart w:id="145" w:name="_Toc2502"/>
      <w:bookmarkStart w:id="146" w:name="_Toc478803292"/>
      <w:bookmarkStart w:id="147" w:name="_Toc15109"/>
      <w:bookmarkStart w:id="148" w:name="_Toc26729"/>
      <w:bookmarkStart w:id="149" w:name="_6.3 施工中检测"/>
      <w:r>
        <w:rPr>
          <w:rFonts w:hint="default" w:ascii="Times New Roman" w:hAnsi="Times New Roman"/>
          <w:b/>
          <w:bCs w:val="0"/>
          <w:highlight w:val="none"/>
        </w:rPr>
        <w:t>6</w:t>
      </w:r>
      <w:r>
        <w:rPr>
          <w:rFonts w:ascii="Times New Roman" w:hAnsi="Times New Roman"/>
          <w:b/>
          <w:bCs w:val="0"/>
          <w:highlight w:val="none"/>
        </w:rPr>
        <w:t>.3</w:t>
      </w:r>
      <w:r>
        <w:rPr>
          <w:rFonts w:ascii="Times New Roman" w:hAnsi="Times New Roman"/>
          <w:highlight w:val="none"/>
        </w:rPr>
        <w:t xml:space="preserve"> </w:t>
      </w:r>
      <w:r>
        <w:rPr>
          <w:rFonts w:hint="default" w:ascii="Times New Roman" w:hAnsi="Times New Roman"/>
          <w:highlight w:val="none"/>
          <w:lang w:val="en-US" w:eastAsia="zh-CN"/>
        </w:rPr>
        <w:t>施工中</w:t>
      </w:r>
      <w:bookmarkEnd w:id="144"/>
      <w:bookmarkEnd w:id="145"/>
      <w:bookmarkEnd w:id="146"/>
      <w:r>
        <w:rPr>
          <w:rFonts w:hint="default" w:ascii="Times New Roman" w:hAnsi="Times New Roman"/>
          <w:highlight w:val="none"/>
          <w:lang w:val="en-US" w:eastAsia="zh-CN"/>
        </w:rPr>
        <w:t>检测</w:t>
      </w:r>
      <w:bookmarkEnd w:id="147"/>
      <w:bookmarkEnd w:id="148"/>
    </w:p>
    <w:bookmarkEnd w:id="149"/>
    <w:p w14:paraId="23B6A0C7">
      <w:pPr>
        <w:spacing w:line="312" w:lineRule="exact"/>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6.3.1</w:t>
      </w:r>
      <w:r>
        <w:rPr>
          <w:rFonts w:ascii="Times New Roman" w:hAnsi="Times New Roman" w:eastAsiaTheme="minorEastAsia"/>
          <w:b/>
          <w:szCs w:val="21"/>
          <w:highlight w:val="none"/>
        </w:rPr>
        <w:t xml:space="preserve"> </w:t>
      </w:r>
      <w:r>
        <w:rPr>
          <w:rFonts w:hint="default" w:ascii="Times New Roman" w:hAnsi="Times New Roman" w:eastAsiaTheme="minorEastAsia"/>
          <w:szCs w:val="21"/>
          <w:highlight w:val="none"/>
        </w:rPr>
        <w:t>施工过程中应进行下列检查：</w:t>
      </w:r>
    </w:p>
    <w:p w14:paraId="0CE3B077">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 xml:space="preserve">施工过程中，应随时检查施工记录和计量记录，并应符合《建筑桩基技术规范》JGJ </w:t>
      </w:r>
      <w:r>
        <w:rPr>
          <w:rFonts w:hint="default" w:ascii="Times New Roman" w:hAnsi="Times New Roman" w:eastAsiaTheme="minorEastAsia"/>
          <w:szCs w:val="21"/>
          <w:highlight w:val="none"/>
          <w:lang w:val="en-US" w:eastAsia="zh-CN"/>
        </w:rPr>
        <w:t>94</w:t>
      </w:r>
      <w:r>
        <w:rPr>
          <w:rFonts w:hint="default" w:ascii="Times New Roman" w:hAnsi="Times New Roman" w:eastAsiaTheme="minorEastAsia"/>
          <w:szCs w:val="21"/>
          <w:highlight w:val="none"/>
        </w:rPr>
        <w:t>的相关规定；</w:t>
      </w:r>
    </w:p>
    <w:p w14:paraId="68C018F8">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当</w:t>
      </w:r>
      <w:r>
        <w:rPr>
          <w:rFonts w:hint="default" w:ascii="Times New Roman" w:hAnsi="Times New Roman" w:eastAsiaTheme="minorEastAsia"/>
          <w:szCs w:val="21"/>
          <w:highlight w:val="none"/>
          <w:lang w:val="en-US" w:eastAsia="zh-CN"/>
        </w:rPr>
        <w:t>预成孔</w:t>
      </w:r>
      <w:r>
        <w:rPr>
          <w:rFonts w:hint="eastAsia" w:ascii="Times New Roman" w:hAnsi="Times New Roman" w:eastAsiaTheme="minorEastAsia"/>
          <w:szCs w:val="21"/>
          <w:highlight w:val="none"/>
          <w:lang w:val="en-US" w:eastAsia="zh-CN"/>
        </w:rPr>
        <w:t>或预搅拌</w:t>
      </w:r>
      <w:r>
        <w:rPr>
          <w:rFonts w:hint="default" w:ascii="Times New Roman" w:hAnsi="Times New Roman" w:eastAsiaTheme="minorEastAsia"/>
          <w:szCs w:val="21"/>
          <w:highlight w:val="none"/>
        </w:rPr>
        <w:t>至设计标高时，应判定</w:t>
      </w:r>
      <w:r>
        <w:rPr>
          <w:rFonts w:hint="default" w:ascii="Times New Roman" w:hAnsi="Times New Roman" w:eastAsiaTheme="minorEastAsia"/>
          <w:szCs w:val="21"/>
          <w:highlight w:val="none"/>
          <w:lang w:val="en-US" w:eastAsia="zh-CN"/>
        </w:rPr>
        <w:t>其</w:t>
      </w:r>
      <w:r>
        <w:rPr>
          <w:rFonts w:hint="default" w:ascii="Times New Roman" w:hAnsi="Times New Roman" w:eastAsiaTheme="minorEastAsia"/>
          <w:szCs w:val="21"/>
          <w:highlight w:val="none"/>
        </w:rPr>
        <w:t>是否已进入持力层；</w:t>
      </w:r>
    </w:p>
    <w:p w14:paraId="54ADA353">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rPr>
        <w:t xml:space="preserve"> 植桩前应检查第一节桩定位时的垂直度</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当垂直度偏差不大于0.</w:t>
      </w:r>
      <w:r>
        <w:rPr>
          <w:rFonts w:hint="eastAsia" w:ascii="Times New Roman" w:hAnsi="Times New Roman" w:eastAsiaTheme="minorEastAsia"/>
          <w:szCs w:val="21"/>
          <w:highlight w:val="none"/>
          <w:lang w:val="en-US" w:eastAsia="zh-CN"/>
        </w:rPr>
        <w:t>3</w:t>
      </w:r>
      <w:r>
        <w:rPr>
          <w:rFonts w:hint="default" w:ascii="Times New Roman" w:hAnsi="Times New Roman" w:eastAsiaTheme="minorEastAsia"/>
          <w:szCs w:val="21"/>
          <w:highlight w:val="none"/>
        </w:rPr>
        <w:t>%时，方可进行施工；</w:t>
      </w:r>
    </w:p>
    <w:p w14:paraId="7BF22AF3">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4</w:t>
      </w:r>
      <w:r>
        <w:rPr>
          <w:rFonts w:hint="default" w:ascii="Times New Roman" w:hAnsi="Times New Roman" w:eastAsiaTheme="minorEastAsia"/>
          <w:szCs w:val="21"/>
          <w:highlight w:val="none"/>
        </w:rPr>
        <w:t xml:space="preserve"> 植桩过程中，应随时对桩身垂直度进行检查，植桩至设计标高时，应检查其最终贯入度或终压值。</w:t>
      </w:r>
    </w:p>
    <w:p w14:paraId="2921B56D">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6.3.</w:t>
      </w:r>
      <w:r>
        <w:rPr>
          <w:rFonts w:hint="default" w:ascii="Times New Roman" w:hAnsi="Times New Roman" w:eastAsia="黑体"/>
          <w:b/>
          <w:bCs/>
          <w:kern w:val="0"/>
          <w:szCs w:val="21"/>
          <w:highlight w:val="none"/>
          <w:lang w:val="en-US" w:eastAsia="zh-CN"/>
        </w:rPr>
        <w:t>2</w:t>
      </w:r>
      <w:r>
        <w:rPr>
          <w:rFonts w:ascii="Times New Roman" w:hAnsi="Times New Roman" w:eastAsiaTheme="minorEastAsia"/>
          <w:b/>
          <w:szCs w:val="21"/>
          <w:highlight w:val="none"/>
        </w:rPr>
        <w:t xml:space="preserve"> </w:t>
      </w:r>
      <w:r>
        <w:rPr>
          <w:rFonts w:hint="default" w:ascii="Times New Roman" w:hAnsi="Times New Roman" w:eastAsiaTheme="minorEastAsia"/>
          <w:szCs w:val="21"/>
          <w:highlight w:val="none"/>
        </w:rPr>
        <w:t>施工记录应按下列规定进行审核：</w:t>
      </w:r>
    </w:p>
    <w:p w14:paraId="5C297B6B">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当配置施工自动记录仪时，应检查自动记录仪是否正常，对所记录的各种施工数据进行逻辑分析判断；</w:t>
      </w:r>
    </w:p>
    <w:p w14:paraId="0CCA2C77">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当采用人工记录时，应检查作业班组是否安排专人记录，记录内容是否齐全、真实、清楚。</w:t>
      </w:r>
    </w:p>
    <w:p w14:paraId="5B172B6A">
      <w:pPr>
        <w:spacing w:line="312" w:lineRule="exact"/>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6.3.</w:t>
      </w:r>
      <w:r>
        <w:rPr>
          <w:rFonts w:hint="default" w:ascii="Times New Roman" w:hAnsi="Times New Roman" w:eastAsia="黑体"/>
          <w:b/>
          <w:bCs/>
          <w:kern w:val="0"/>
          <w:szCs w:val="21"/>
          <w:highlight w:val="none"/>
          <w:lang w:val="en-US" w:eastAsia="zh-CN"/>
        </w:rPr>
        <w:t>3</w:t>
      </w:r>
      <w:r>
        <w:rPr>
          <w:rFonts w:ascii="Times New Roman" w:hAnsi="Times New Roman" w:eastAsiaTheme="minorEastAsia"/>
          <w:b/>
          <w:szCs w:val="21"/>
          <w:highlight w:val="none"/>
        </w:rPr>
        <w:t xml:space="preserve"> </w:t>
      </w:r>
      <w:r>
        <w:rPr>
          <w:rFonts w:hint="default" w:ascii="Times New Roman" w:hAnsi="Times New Roman" w:eastAsiaTheme="minorEastAsia"/>
          <w:szCs w:val="21"/>
          <w:highlight w:val="none"/>
        </w:rPr>
        <w:t>当充填材料为</w:t>
      </w:r>
      <w:r>
        <w:rPr>
          <w:rFonts w:hint="eastAsia" w:ascii="Times New Roman" w:hAnsi="Times New Roman" w:eastAsiaTheme="minorEastAsia"/>
          <w:szCs w:val="21"/>
          <w:highlight w:val="none"/>
          <w:lang w:val="en-US" w:eastAsia="zh-CN"/>
        </w:rPr>
        <w:t>水泥砂浆</w:t>
      </w:r>
      <w:r>
        <w:rPr>
          <w:rFonts w:hint="default" w:ascii="Times New Roman" w:hAnsi="Times New Roman" w:eastAsiaTheme="minorEastAsia"/>
          <w:szCs w:val="21"/>
          <w:highlight w:val="none"/>
        </w:rPr>
        <w:t>或</w:t>
      </w:r>
      <w:r>
        <w:rPr>
          <w:rFonts w:hint="eastAsia" w:ascii="Times New Roman" w:hAnsi="Times New Roman" w:eastAsiaTheme="minorEastAsia"/>
          <w:szCs w:val="21"/>
          <w:highlight w:val="none"/>
          <w:lang w:val="en-US" w:eastAsia="zh-CN"/>
        </w:rPr>
        <w:t>混凝土</w:t>
      </w:r>
      <w:r>
        <w:rPr>
          <w:rFonts w:hint="default" w:ascii="Times New Roman" w:hAnsi="Times New Roman" w:eastAsiaTheme="minorEastAsia"/>
          <w:szCs w:val="21"/>
          <w:highlight w:val="none"/>
        </w:rPr>
        <w:t>时，试块</w:t>
      </w:r>
      <w:r>
        <w:rPr>
          <w:rFonts w:hint="eastAsia" w:ascii="Times New Roman" w:hAnsi="Times New Roman" w:eastAsiaTheme="minorEastAsia"/>
          <w:szCs w:val="21"/>
          <w:highlight w:val="none"/>
          <w:lang w:val="en-US" w:eastAsia="zh-CN"/>
        </w:rPr>
        <w:t>应</w:t>
      </w:r>
      <w:r>
        <w:rPr>
          <w:rFonts w:hint="default" w:ascii="Times New Roman" w:hAnsi="Times New Roman" w:eastAsiaTheme="minorEastAsia"/>
          <w:szCs w:val="21"/>
          <w:highlight w:val="none"/>
        </w:rPr>
        <w:t>取样自现场实际灌注材料，每个灌注台班留试件数量不少于1组，每组试件数量为3件。</w:t>
      </w:r>
    </w:p>
    <w:p w14:paraId="1327A039">
      <w:pPr>
        <w:spacing w:line="312" w:lineRule="exact"/>
        <w:rPr>
          <w:rFonts w:ascii="Times New Roman" w:hAnsi="Times New Roman" w:eastAsiaTheme="minorEastAsia"/>
          <w:szCs w:val="21"/>
          <w:highlight w:val="none"/>
        </w:rPr>
      </w:pPr>
      <w:r>
        <w:rPr>
          <w:rFonts w:hint="default" w:ascii="Times New Roman" w:hAnsi="Times New Roman" w:eastAsia="黑体"/>
          <w:b/>
          <w:bCs/>
          <w:kern w:val="0"/>
          <w:szCs w:val="21"/>
          <w:highlight w:val="none"/>
        </w:rPr>
        <w:t>6.3.</w:t>
      </w:r>
      <w:r>
        <w:rPr>
          <w:rFonts w:hint="default" w:ascii="Times New Roman" w:hAnsi="Times New Roman" w:eastAsia="黑体"/>
          <w:b/>
          <w:bCs/>
          <w:kern w:val="0"/>
          <w:szCs w:val="21"/>
          <w:highlight w:val="none"/>
          <w:lang w:val="en-US" w:eastAsia="zh-CN"/>
        </w:rPr>
        <w:t>4</w:t>
      </w:r>
      <w:r>
        <w:rPr>
          <w:rFonts w:ascii="Times New Roman" w:hAnsi="Times New Roman" w:eastAsiaTheme="minorEastAsia"/>
          <w:b/>
          <w:szCs w:val="21"/>
          <w:highlight w:val="none"/>
        </w:rPr>
        <w:t xml:space="preserve"> </w:t>
      </w:r>
      <w:r>
        <w:rPr>
          <w:rFonts w:hint="default" w:ascii="Times New Roman" w:hAnsi="Times New Roman" w:eastAsiaTheme="minorEastAsia"/>
          <w:szCs w:val="21"/>
          <w:highlight w:val="none"/>
        </w:rPr>
        <w:t>当充填材料为</w:t>
      </w:r>
      <w:r>
        <w:rPr>
          <w:rFonts w:hint="eastAsia" w:ascii="Times New Roman" w:hAnsi="Times New Roman" w:eastAsiaTheme="minorEastAsia"/>
          <w:szCs w:val="21"/>
          <w:highlight w:val="none"/>
          <w:lang w:eastAsia="zh-CN"/>
        </w:rPr>
        <w:t>水泥土或固化土</w:t>
      </w:r>
      <w:r>
        <w:rPr>
          <w:rFonts w:hint="default" w:ascii="Times New Roman" w:hAnsi="Times New Roman" w:eastAsiaTheme="minorEastAsia"/>
          <w:szCs w:val="21"/>
          <w:highlight w:val="none"/>
        </w:rPr>
        <w:t>时，宜采用软取芯法检验</w:t>
      </w:r>
      <w:r>
        <w:rPr>
          <w:rFonts w:hint="eastAsia" w:ascii="Times New Roman" w:hAnsi="Times New Roman" w:eastAsiaTheme="minorEastAsia"/>
          <w:szCs w:val="21"/>
          <w:highlight w:val="none"/>
          <w:lang w:eastAsia="zh-CN"/>
        </w:rPr>
        <w:t>水泥土或固化土</w:t>
      </w:r>
      <w:r>
        <w:rPr>
          <w:rFonts w:hint="default" w:ascii="Times New Roman" w:hAnsi="Times New Roman" w:eastAsiaTheme="minorEastAsia"/>
          <w:szCs w:val="21"/>
          <w:highlight w:val="none"/>
        </w:rPr>
        <w:t>强度，检验数量不宜小于总桩数的1% ，且不宜少于3 根桩。</w:t>
      </w:r>
    </w:p>
    <w:p w14:paraId="18A61A03">
      <w:pPr>
        <w:pStyle w:val="3"/>
        <w:spacing w:before="312" w:after="312"/>
        <w:rPr>
          <w:rFonts w:hint="default" w:ascii="Times New Roman" w:hAnsi="Times New Roman"/>
          <w:highlight w:val="none"/>
          <w:lang w:val="en-US"/>
        </w:rPr>
      </w:pPr>
      <w:bookmarkStart w:id="150" w:name="_Toc644"/>
      <w:bookmarkStart w:id="151" w:name="_Toc478810151"/>
      <w:bookmarkStart w:id="152" w:name="_Toc478803293"/>
      <w:bookmarkStart w:id="153" w:name="_Toc32481"/>
      <w:bookmarkStart w:id="154" w:name="_Toc24727"/>
      <w:bookmarkStart w:id="155" w:name="_6.4 施工后检测"/>
      <w:r>
        <w:rPr>
          <w:rFonts w:hint="default" w:ascii="Times New Roman" w:hAnsi="Times New Roman"/>
          <w:b/>
          <w:bCs w:val="0"/>
          <w:highlight w:val="none"/>
        </w:rPr>
        <w:t>6</w:t>
      </w:r>
      <w:r>
        <w:rPr>
          <w:rFonts w:ascii="Times New Roman" w:hAnsi="Times New Roman"/>
          <w:b/>
          <w:bCs w:val="0"/>
          <w:highlight w:val="none"/>
        </w:rPr>
        <w:t>.4</w:t>
      </w:r>
      <w:r>
        <w:rPr>
          <w:rFonts w:ascii="Times New Roman" w:hAnsi="Times New Roman"/>
          <w:highlight w:val="none"/>
        </w:rPr>
        <w:t xml:space="preserve"> </w:t>
      </w:r>
      <w:r>
        <w:rPr>
          <w:rFonts w:hint="default" w:ascii="Times New Roman" w:hAnsi="Times New Roman"/>
          <w:highlight w:val="none"/>
          <w:lang w:val="en-US" w:eastAsia="zh-CN"/>
        </w:rPr>
        <w:t>施工后</w:t>
      </w:r>
      <w:bookmarkEnd w:id="150"/>
      <w:bookmarkEnd w:id="151"/>
      <w:bookmarkEnd w:id="152"/>
      <w:r>
        <w:rPr>
          <w:rFonts w:hint="default" w:ascii="Times New Roman" w:hAnsi="Times New Roman"/>
          <w:highlight w:val="none"/>
          <w:lang w:val="en-US" w:eastAsia="zh-CN"/>
        </w:rPr>
        <w:t>检测</w:t>
      </w:r>
      <w:bookmarkEnd w:id="153"/>
      <w:bookmarkEnd w:id="154"/>
    </w:p>
    <w:bookmarkEnd w:id="155"/>
    <w:p w14:paraId="11E3F5B1">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6.4.1</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施工后应对桩顶标高、桩位偏差、桩体的强度和直径进行</w:t>
      </w:r>
      <w:r>
        <w:rPr>
          <w:rFonts w:hint="eastAsia" w:ascii="Times New Roman" w:hAnsi="Times New Roman" w:eastAsiaTheme="minorEastAsia"/>
          <w:szCs w:val="21"/>
          <w:highlight w:val="none"/>
          <w:lang w:eastAsia="zh-CN"/>
        </w:rPr>
        <w:t>检测</w:t>
      </w:r>
      <w:r>
        <w:rPr>
          <w:rFonts w:hint="default" w:ascii="Times New Roman" w:hAnsi="Times New Roman" w:eastAsiaTheme="minorEastAsia"/>
          <w:szCs w:val="21"/>
          <w:highlight w:val="none"/>
        </w:rPr>
        <w:t>，</w:t>
      </w:r>
      <w:r>
        <w:rPr>
          <w:rFonts w:hint="eastAsia" w:ascii="Times New Roman" w:hAnsi="Times New Roman" w:eastAsiaTheme="minorEastAsia"/>
          <w:szCs w:val="21"/>
          <w:highlight w:val="none"/>
          <w:lang w:eastAsia="zh-CN"/>
        </w:rPr>
        <w:t>检测</w:t>
      </w:r>
      <w:r>
        <w:rPr>
          <w:rFonts w:hint="default" w:ascii="Times New Roman" w:hAnsi="Times New Roman" w:eastAsiaTheme="minorEastAsia"/>
          <w:szCs w:val="21"/>
          <w:highlight w:val="none"/>
        </w:rPr>
        <w:t>结果应符合现行国家标准《建筑地基基础工程施工质量验收标准》GB 50202的有关规定。</w:t>
      </w:r>
    </w:p>
    <w:p w14:paraId="3A6B8C89">
      <w:pPr>
        <w:spacing w:line="312" w:lineRule="exact"/>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6.4.</w:t>
      </w:r>
      <w:r>
        <w:rPr>
          <w:rFonts w:hint="default" w:ascii="Times New Roman" w:hAnsi="Times New Roman" w:eastAsia="黑体"/>
          <w:b/>
          <w:bCs/>
          <w:kern w:val="0"/>
          <w:szCs w:val="21"/>
          <w:highlight w:val="none"/>
          <w:lang w:val="en-US" w:eastAsia="zh-CN"/>
        </w:rPr>
        <w:t>2</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单桩竖向承载力检测</w:t>
      </w:r>
      <w:r>
        <w:rPr>
          <w:rFonts w:hint="eastAsia" w:ascii="Times New Roman" w:hAnsi="Times New Roman" w:eastAsiaTheme="minorEastAsia"/>
          <w:szCs w:val="21"/>
          <w:highlight w:val="none"/>
          <w:lang w:val="en-US" w:eastAsia="zh-CN"/>
        </w:rPr>
        <w:t>宜</w:t>
      </w:r>
      <w:r>
        <w:rPr>
          <w:rFonts w:hint="eastAsia"/>
          <w:highlight w:val="none"/>
        </w:rPr>
        <w:t>静荷载试验</w:t>
      </w:r>
      <w:r>
        <w:rPr>
          <w:rFonts w:hint="eastAsia"/>
          <w:highlight w:val="none"/>
          <w:lang w:val="en-US" w:eastAsia="zh-CN"/>
        </w:rPr>
        <w:t>法</w:t>
      </w:r>
      <w:r>
        <w:rPr>
          <w:rFonts w:hint="default" w:ascii="Times New Roman" w:hAnsi="Times New Roman" w:eastAsiaTheme="minorEastAsia"/>
          <w:szCs w:val="21"/>
          <w:highlight w:val="none"/>
        </w:rPr>
        <w:t>，对同一条件同一复合桩型，</w:t>
      </w:r>
      <w:r>
        <w:rPr>
          <w:rFonts w:hint="eastAsia" w:ascii="Times New Roman" w:hAnsi="Times New Roman" w:eastAsiaTheme="minorEastAsia"/>
          <w:szCs w:val="21"/>
          <w:highlight w:val="none"/>
          <w:lang w:val="en-US" w:eastAsia="zh-CN"/>
        </w:rPr>
        <w:t>检测</w:t>
      </w:r>
      <w:r>
        <w:rPr>
          <w:rFonts w:hint="default" w:ascii="Times New Roman" w:hAnsi="Times New Roman" w:eastAsiaTheme="minorEastAsia"/>
          <w:szCs w:val="21"/>
          <w:highlight w:val="none"/>
        </w:rPr>
        <w:t>数量不宜少于总桩数的1%，且不应少于3根，总桩数在50根以内时不应少于2根，单桩竖向静载荷试验应采用慢速维持载荷法。</w:t>
      </w:r>
    </w:p>
    <w:p w14:paraId="7D9F93D3">
      <w:pPr>
        <w:spacing w:line="312" w:lineRule="exact"/>
        <w:rPr>
          <w:rFonts w:hint="eastAsia" w:eastAsia="宋体"/>
          <w:lang w:eastAsia="zh-CN"/>
        </w:rPr>
      </w:pPr>
      <w:r>
        <w:rPr>
          <w:rFonts w:hint="default" w:ascii="Times New Roman" w:hAnsi="Times New Roman" w:eastAsia="黑体"/>
          <w:b/>
          <w:bCs/>
          <w:kern w:val="0"/>
          <w:szCs w:val="21"/>
          <w:highlight w:val="none"/>
        </w:rPr>
        <w:t>6.4.</w:t>
      </w:r>
      <w:r>
        <w:rPr>
          <w:rFonts w:hint="eastAsia" w:ascii="Times New Roman" w:hAnsi="Times New Roman" w:eastAsia="黑体"/>
          <w:b/>
          <w:bCs/>
          <w:kern w:val="0"/>
          <w:szCs w:val="21"/>
          <w:highlight w:val="none"/>
          <w:lang w:val="en-US" w:eastAsia="zh-CN"/>
        </w:rPr>
        <w:t>3</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rPr>
        <w:t>桩身完整性检</w:t>
      </w:r>
      <w:r>
        <w:rPr>
          <w:rFonts w:hint="eastAsia" w:ascii="Times New Roman" w:hAnsi="Times New Roman" w:eastAsiaTheme="minorEastAsia"/>
          <w:szCs w:val="21"/>
          <w:highlight w:val="none"/>
          <w:lang w:val="en-US" w:eastAsia="zh-CN"/>
        </w:rPr>
        <w:t>测宜</w:t>
      </w:r>
      <w:r>
        <w:rPr>
          <w:rFonts w:hint="default" w:ascii="Times New Roman" w:hAnsi="Times New Roman" w:eastAsiaTheme="minorEastAsia"/>
          <w:szCs w:val="21"/>
          <w:highlight w:val="none"/>
        </w:rPr>
        <w:t>采用低应变法，</w:t>
      </w:r>
      <w:r>
        <w:rPr>
          <w:rFonts w:hint="default"/>
        </w:rPr>
        <w:t>建筑桩基设计等级为甲级，检测数量不应少于总桩数的</w:t>
      </w:r>
      <w:r>
        <w:rPr>
          <w:rFonts w:hint="default" w:ascii="Times New Roman" w:hAnsi="Times New Roman" w:eastAsiaTheme="minorEastAsia"/>
          <w:szCs w:val="21"/>
          <w:highlight w:val="none"/>
        </w:rPr>
        <w:t>30％</w:t>
      </w:r>
      <w:r>
        <w:rPr>
          <w:rFonts w:hint="default"/>
        </w:rPr>
        <w:t>，且不应少于</w:t>
      </w:r>
      <w:r>
        <w:rPr>
          <w:rFonts w:hint="default" w:ascii="Times New Roman" w:hAnsi="Times New Roman" w:eastAsiaTheme="minorEastAsia"/>
          <w:szCs w:val="21"/>
          <w:highlight w:val="none"/>
        </w:rPr>
        <w:t>20</w:t>
      </w:r>
      <w:r>
        <w:rPr>
          <w:rFonts w:hint="default"/>
        </w:rPr>
        <w:t>根；其他桩基工程，检测数量不应少于总桩数的</w:t>
      </w:r>
      <w:r>
        <w:rPr>
          <w:rFonts w:hint="default" w:ascii="Times New Roman" w:hAnsi="Times New Roman" w:eastAsiaTheme="minorEastAsia"/>
          <w:szCs w:val="21"/>
          <w:highlight w:val="none"/>
        </w:rPr>
        <w:t>20％</w:t>
      </w:r>
      <w:r>
        <w:rPr>
          <w:rFonts w:hint="default"/>
        </w:rPr>
        <w:t>，且不应少于</w:t>
      </w:r>
      <w:r>
        <w:rPr>
          <w:rFonts w:hint="default" w:ascii="Times New Roman" w:hAnsi="Times New Roman" w:eastAsiaTheme="minorEastAsia"/>
          <w:szCs w:val="21"/>
          <w:highlight w:val="none"/>
        </w:rPr>
        <w:t>10</w:t>
      </w:r>
      <w:r>
        <w:rPr>
          <w:rFonts w:hint="default"/>
        </w:rPr>
        <w:t>根；</w:t>
      </w:r>
      <w:r>
        <w:rPr>
          <w:rFonts w:hint="eastAsia"/>
          <w:lang w:val="en-US" w:eastAsia="zh-CN"/>
        </w:rPr>
        <w:t>且</w:t>
      </w:r>
      <w:r>
        <w:rPr>
          <w:rFonts w:hint="default"/>
        </w:rPr>
        <w:t>每个柱下承台检测桩数不应少于</w:t>
      </w:r>
      <w:r>
        <w:rPr>
          <w:rFonts w:hint="default" w:ascii="Times New Roman" w:hAnsi="Times New Roman" w:eastAsiaTheme="minorEastAsia"/>
          <w:szCs w:val="21"/>
          <w:highlight w:val="none"/>
        </w:rPr>
        <w:t>1</w:t>
      </w:r>
      <w:r>
        <w:rPr>
          <w:rFonts w:hint="default"/>
        </w:rPr>
        <w:t>根</w:t>
      </w:r>
      <w:r>
        <w:rPr>
          <w:rFonts w:hint="eastAsia"/>
          <w:lang w:eastAsia="zh-CN"/>
        </w:rPr>
        <w:t>。</w:t>
      </w:r>
    </w:p>
    <w:p w14:paraId="71B9EBB1">
      <w:pPr>
        <w:spacing w:line="312" w:lineRule="exact"/>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6.4.</w:t>
      </w:r>
      <w:r>
        <w:rPr>
          <w:rFonts w:hint="eastAsia" w:ascii="Times New Roman" w:hAnsi="Times New Roman" w:eastAsia="黑体"/>
          <w:b/>
          <w:bCs/>
          <w:kern w:val="0"/>
          <w:szCs w:val="21"/>
          <w:highlight w:val="none"/>
          <w:lang w:val="en-US" w:eastAsia="zh-CN"/>
        </w:rPr>
        <w:t>4</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eastAsia="zh-CN"/>
        </w:rPr>
        <w:t>对于承受水平力较大的</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lang w:eastAsia="zh-CN"/>
        </w:rPr>
        <w:t>，除应按现行行业标准《建筑基桩检测技术规范》JGJ 106的有关规定进行单桩水平静载试验外，尚应符合下列规定：</w:t>
      </w:r>
    </w:p>
    <w:p w14:paraId="5E047E07">
      <w:pPr>
        <w:spacing w:line="312" w:lineRule="exact"/>
        <w:ind w:firstLine="422" w:firstLineChars="200"/>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lang w:eastAsia="zh-CN"/>
        </w:rPr>
        <w:t>1</w:t>
      </w:r>
      <w:r>
        <w:rPr>
          <w:rFonts w:hint="default" w:ascii="Times New Roman" w:hAnsi="Times New Roman" w:eastAsiaTheme="minorEastAsia"/>
          <w:szCs w:val="21"/>
          <w:highlight w:val="none"/>
          <w:lang w:eastAsia="zh-CN"/>
        </w:rPr>
        <w:t xml:space="preserve"> 检测桩数不应少于同条件下总桩数的1%，且不应少于</w:t>
      </w:r>
      <w:r>
        <w:rPr>
          <w:rFonts w:hint="default" w:ascii="Times New Roman" w:hAnsi="Times New Roman" w:eastAsiaTheme="minorEastAsia"/>
          <w:szCs w:val="21"/>
          <w:highlight w:val="none"/>
          <w:lang w:val="en-US" w:eastAsia="zh-CN"/>
        </w:rPr>
        <w:t>3</w:t>
      </w:r>
      <w:r>
        <w:rPr>
          <w:rFonts w:hint="default" w:ascii="Times New Roman" w:hAnsi="Times New Roman" w:eastAsiaTheme="minorEastAsia"/>
          <w:szCs w:val="21"/>
          <w:highlight w:val="none"/>
          <w:lang w:eastAsia="zh-CN"/>
        </w:rPr>
        <w:t>根；</w:t>
      </w:r>
    </w:p>
    <w:p w14:paraId="1F432D5F">
      <w:pPr>
        <w:spacing w:line="312" w:lineRule="exact"/>
        <w:ind w:firstLine="422" w:firstLineChars="200"/>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lang w:eastAsia="zh-CN"/>
        </w:rPr>
        <w:t>2</w:t>
      </w:r>
      <w:r>
        <w:rPr>
          <w:rFonts w:hint="default" w:ascii="Times New Roman" w:hAnsi="Times New Roman" w:eastAsiaTheme="minorEastAsia"/>
          <w:szCs w:val="21"/>
          <w:highlight w:val="none"/>
          <w:lang w:eastAsia="zh-CN"/>
        </w:rPr>
        <w:t xml:space="preserve"> 水平推力应施加在</w:t>
      </w:r>
      <w:r>
        <w:rPr>
          <w:rFonts w:hint="eastAsia" w:ascii="Times New Roman" w:hAnsi="Times New Roman" w:eastAsiaTheme="minorEastAsia"/>
          <w:szCs w:val="21"/>
          <w:highlight w:val="none"/>
          <w:lang w:val="en-US" w:eastAsia="zh-CN"/>
        </w:rPr>
        <w:t>芯桩</w:t>
      </w:r>
      <w:r>
        <w:rPr>
          <w:rFonts w:hint="default" w:ascii="Times New Roman" w:hAnsi="Times New Roman" w:eastAsiaTheme="minorEastAsia"/>
          <w:szCs w:val="21"/>
          <w:highlight w:val="none"/>
          <w:lang w:eastAsia="zh-CN"/>
        </w:rPr>
        <w:t>上；</w:t>
      </w:r>
    </w:p>
    <w:p w14:paraId="69C42AEF">
      <w:pPr>
        <w:spacing w:line="312" w:lineRule="exact"/>
        <w:ind w:firstLine="422" w:firstLineChars="200"/>
        <w:rPr>
          <w:rFonts w:hint="default" w:ascii="Times New Roman" w:hAnsi="Times New Roman" w:eastAsiaTheme="minorEastAsia"/>
          <w:color w:val="0000FF"/>
          <w:szCs w:val="21"/>
          <w:highlight w:val="none"/>
          <w:lang w:eastAsia="zh-CN"/>
        </w:rPr>
      </w:pPr>
      <w:r>
        <w:rPr>
          <w:rFonts w:hint="default" w:ascii="Times New Roman" w:hAnsi="Times New Roman" w:eastAsia="黑体"/>
          <w:b/>
          <w:bCs/>
          <w:kern w:val="0"/>
          <w:szCs w:val="21"/>
          <w:highlight w:val="none"/>
          <w:lang w:eastAsia="zh-CN"/>
        </w:rPr>
        <w:t>3</w:t>
      </w:r>
      <w:r>
        <w:rPr>
          <w:rFonts w:hint="default" w:ascii="Times New Roman" w:hAnsi="Times New Roman" w:eastAsiaTheme="minorEastAsia"/>
          <w:szCs w:val="21"/>
          <w:highlight w:val="none"/>
          <w:lang w:eastAsia="zh-CN"/>
        </w:rPr>
        <w:t xml:space="preserve"> 单桩水平承载力特征值应按单桩水平静载试验</w:t>
      </w:r>
      <w:r>
        <w:rPr>
          <w:rFonts w:hint="eastAsia" w:ascii="Times New Roman" w:hAnsi="Times New Roman" w:eastAsiaTheme="minorEastAsia"/>
          <w:szCs w:val="21"/>
          <w:highlight w:val="none"/>
          <w:lang w:val="en-US" w:eastAsia="zh-CN"/>
        </w:rPr>
        <w:t>的</w:t>
      </w:r>
      <w:r>
        <w:rPr>
          <w:rFonts w:hint="default" w:ascii="Times New Roman" w:hAnsi="Times New Roman" w:eastAsiaTheme="minorEastAsia"/>
          <w:szCs w:val="21"/>
          <w:highlight w:val="none"/>
          <w:lang w:eastAsia="zh-CN"/>
        </w:rPr>
        <w:t>临界荷载的0</w:t>
      </w:r>
      <w:r>
        <w:rPr>
          <w:rFonts w:hint="default" w:ascii="Times New Roman" w:hAnsi="Times New Roman" w:eastAsiaTheme="minorEastAsia"/>
          <w:szCs w:val="21"/>
          <w:highlight w:val="none"/>
          <w:lang w:val="en-US" w:eastAsia="zh-CN"/>
        </w:rPr>
        <w:t>.</w:t>
      </w:r>
      <w:r>
        <w:rPr>
          <w:rFonts w:hint="eastAsia" w:ascii="Times New Roman" w:hAnsi="Times New Roman" w:eastAsiaTheme="minorEastAsia"/>
          <w:szCs w:val="21"/>
          <w:highlight w:val="none"/>
          <w:lang w:val="en-US" w:eastAsia="zh-CN"/>
        </w:rPr>
        <w:t>75</w:t>
      </w:r>
      <w:r>
        <w:rPr>
          <w:rFonts w:hint="default" w:ascii="Times New Roman" w:hAnsi="Times New Roman" w:eastAsiaTheme="minorEastAsia"/>
          <w:szCs w:val="21"/>
          <w:highlight w:val="none"/>
          <w:lang w:eastAsia="zh-CN"/>
        </w:rPr>
        <w:t>倍取值</w:t>
      </w:r>
      <w:r>
        <w:rPr>
          <w:rFonts w:hint="eastAsia" w:ascii="Times New Roman" w:hAnsi="Times New Roman" w:eastAsiaTheme="minorEastAsia"/>
          <w:szCs w:val="21"/>
          <w:highlight w:val="none"/>
          <w:lang w:val="en-US" w:eastAsia="zh-CN"/>
        </w:rPr>
        <w:t>，</w:t>
      </w:r>
      <w:r>
        <w:rPr>
          <w:rFonts w:hint="default" w:ascii="Times New Roman" w:hAnsi="Times New Roman" w:eastAsiaTheme="minorEastAsia"/>
          <w:szCs w:val="21"/>
          <w:highlight w:val="none"/>
          <w:lang w:eastAsia="zh-CN"/>
        </w:rPr>
        <w:t>且不应大于单桩水平极限承载力的50%。</w:t>
      </w:r>
    </w:p>
    <w:p w14:paraId="07A7D427">
      <w:pPr>
        <w:spacing w:line="312" w:lineRule="exact"/>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6.4.</w:t>
      </w:r>
      <w:r>
        <w:rPr>
          <w:rFonts w:hint="eastAsia" w:ascii="Times New Roman" w:hAnsi="Times New Roman" w:eastAsia="黑体"/>
          <w:b/>
          <w:bCs/>
          <w:kern w:val="0"/>
          <w:szCs w:val="21"/>
          <w:highlight w:val="none"/>
          <w:lang w:val="en-US" w:eastAsia="zh-CN"/>
        </w:rPr>
        <w:t>5</w:t>
      </w:r>
      <w:r>
        <w:rPr>
          <w:rFonts w:ascii="Times New Roman" w:hAnsi="Times New Roman" w:eastAsiaTheme="minorEastAsia"/>
          <w:szCs w:val="21"/>
          <w:highlight w:val="none"/>
        </w:rPr>
        <w:t xml:space="preserve"> </w:t>
      </w:r>
      <w:r>
        <w:rPr>
          <w:rFonts w:hint="default" w:ascii="Times New Roman" w:hAnsi="Times New Roman" w:eastAsiaTheme="minorEastAsia"/>
          <w:szCs w:val="21"/>
          <w:highlight w:val="none"/>
          <w:lang w:eastAsia="zh-CN"/>
        </w:rPr>
        <w:t>对于承受拔力的</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lang w:eastAsia="zh-CN"/>
        </w:rPr>
        <w:t>，应按现行行业标准《建筑基桩检测技术规范》JGJ 106的有关规定进行单桩竖向抗拔静载试验。检测桩数不应少于同条件下总桩数的1%，且不应少于3根。</w:t>
      </w:r>
    </w:p>
    <w:p w14:paraId="32D5BA07">
      <w:pPr>
        <w:spacing w:line="312" w:lineRule="exact"/>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rPr>
        <w:t>6.4.</w:t>
      </w:r>
      <w:r>
        <w:rPr>
          <w:rFonts w:hint="eastAsia" w:ascii="Times New Roman" w:hAnsi="Times New Roman" w:eastAsia="黑体"/>
          <w:b/>
          <w:bCs/>
          <w:kern w:val="0"/>
          <w:szCs w:val="21"/>
          <w:highlight w:val="none"/>
          <w:lang w:val="en-US" w:eastAsia="zh-CN"/>
        </w:rPr>
        <w:t>6</w:t>
      </w:r>
      <w:r>
        <w:rPr>
          <w:rFonts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从成桩到开始</w:t>
      </w:r>
      <w:r>
        <w:rPr>
          <w:rFonts w:hint="eastAsia" w:ascii="Times New Roman" w:hAnsi="Times New Roman" w:eastAsiaTheme="minorEastAsia"/>
          <w:szCs w:val="21"/>
          <w:highlight w:val="none"/>
          <w:lang w:val="en-US" w:eastAsia="zh-CN"/>
        </w:rPr>
        <w:t>检测</w:t>
      </w:r>
      <w:r>
        <w:rPr>
          <w:rFonts w:hint="default" w:ascii="Times New Roman" w:hAnsi="Times New Roman" w:eastAsiaTheme="minorEastAsia"/>
          <w:szCs w:val="21"/>
          <w:highlight w:val="none"/>
        </w:rPr>
        <w:t>的时间，除设计有要求外，黏性土地层不少于2</w:t>
      </w:r>
      <w:r>
        <w:rPr>
          <w:rFonts w:hint="eastAsia" w:ascii="Times New Roman" w:hAnsi="Times New Roman" w:eastAsiaTheme="minorEastAsia"/>
          <w:szCs w:val="21"/>
          <w:highlight w:val="none"/>
          <w:lang w:val="en-US" w:eastAsia="zh-CN"/>
        </w:rPr>
        <w:t>1</w:t>
      </w:r>
      <w:r>
        <w:rPr>
          <w:rFonts w:hint="default" w:ascii="Times New Roman" w:hAnsi="Times New Roman" w:eastAsiaTheme="minorEastAsia"/>
          <w:szCs w:val="21"/>
          <w:highlight w:val="none"/>
        </w:rPr>
        <w:t>天，砂性土地层不少于1</w:t>
      </w:r>
      <w:r>
        <w:rPr>
          <w:rFonts w:hint="eastAsia" w:ascii="Times New Roman" w:hAnsi="Times New Roman" w:eastAsiaTheme="minorEastAsia"/>
          <w:szCs w:val="21"/>
          <w:highlight w:val="none"/>
          <w:lang w:val="en-US" w:eastAsia="zh-CN"/>
        </w:rPr>
        <w:t>4</w:t>
      </w:r>
      <w:r>
        <w:rPr>
          <w:rFonts w:hint="default" w:ascii="Times New Roman" w:hAnsi="Times New Roman" w:eastAsiaTheme="minorEastAsia"/>
          <w:szCs w:val="21"/>
          <w:highlight w:val="none"/>
        </w:rPr>
        <w:t>天。</w:t>
      </w:r>
    </w:p>
    <w:p w14:paraId="576268F1">
      <w:pPr>
        <w:pStyle w:val="3"/>
        <w:spacing w:before="312" w:after="312"/>
        <w:rPr>
          <w:rFonts w:ascii="Times New Roman" w:hAnsi="Times New Roman"/>
          <w:highlight w:val="none"/>
        </w:rPr>
      </w:pPr>
      <w:bookmarkStart w:id="156" w:name="_Toc29388"/>
      <w:bookmarkStart w:id="157" w:name="_Toc478810152"/>
      <w:bookmarkStart w:id="158" w:name="_Toc4982"/>
      <w:bookmarkStart w:id="159" w:name="_Toc23897"/>
      <w:bookmarkStart w:id="160" w:name="_Toc478803294"/>
      <w:bookmarkStart w:id="161" w:name="_6.5 工程验收"/>
      <w:r>
        <w:rPr>
          <w:rFonts w:hint="default" w:ascii="Times New Roman" w:hAnsi="Times New Roman"/>
          <w:b/>
          <w:bCs w:val="0"/>
          <w:highlight w:val="none"/>
        </w:rPr>
        <w:t>6</w:t>
      </w:r>
      <w:r>
        <w:rPr>
          <w:rFonts w:ascii="Times New Roman" w:hAnsi="Times New Roman"/>
          <w:b/>
          <w:bCs w:val="0"/>
          <w:highlight w:val="none"/>
        </w:rPr>
        <w:t>.5</w:t>
      </w:r>
      <w:r>
        <w:rPr>
          <w:rFonts w:ascii="Times New Roman" w:hAnsi="Times New Roman"/>
          <w:highlight w:val="none"/>
        </w:rPr>
        <w:t xml:space="preserve"> </w:t>
      </w:r>
      <w:r>
        <w:rPr>
          <w:rFonts w:hint="default" w:ascii="Times New Roman" w:hAnsi="Times New Roman"/>
          <w:highlight w:val="none"/>
          <w:lang w:val="en-US" w:eastAsia="zh-CN"/>
        </w:rPr>
        <w:t>验收</w:t>
      </w:r>
      <w:bookmarkEnd w:id="156"/>
      <w:bookmarkEnd w:id="157"/>
      <w:bookmarkEnd w:id="158"/>
      <w:bookmarkEnd w:id="159"/>
      <w:bookmarkEnd w:id="160"/>
    </w:p>
    <w:bookmarkEnd w:id="161"/>
    <w:p w14:paraId="1AD89980">
      <w:pPr>
        <w:spacing w:line="312" w:lineRule="exact"/>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6.5.1</w:t>
      </w:r>
      <w:r>
        <w:rPr>
          <w:rFonts w:hint="default" w:ascii="Times New Roman" w:hAnsi="Times New Roman" w:eastAsiaTheme="minorEastAsia"/>
          <w:b/>
          <w:kern w:val="0"/>
          <w:szCs w:val="21"/>
          <w:highlight w:val="none"/>
        </w:rPr>
        <w:t xml:space="preserve"> </w:t>
      </w:r>
      <w:r>
        <w:rPr>
          <w:rFonts w:hint="default" w:ascii="Times New Roman" w:hAnsi="Times New Roman" w:eastAsiaTheme="minorEastAsia"/>
          <w:szCs w:val="21"/>
          <w:highlight w:val="none"/>
        </w:rPr>
        <w:t>基坑开挖至设计标高后，建设单位应会同</w:t>
      </w:r>
      <w:r>
        <w:rPr>
          <w:rFonts w:hint="eastAsia" w:ascii="Times New Roman" w:hAnsi="Times New Roman" w:eastAsiaTheme="minorEastAsia"/>
          <w:szCs w:val="21"/>
          <w:highlight w:val="none"/>
          <w:lang w:val="en-US" w:eastAsia="zh-CN"/>
        </w:rPr>
        <w:t>勘察、</w:t>
      </w:r>
      <w:r>
        <w:rPr>
          <w:rFonts w:hint="default" w:ascii="Times New Roman" w:hAnsi="Times New Roman" w:eastAsiaTheme="minorEastAsia"/>
          <w:szCs w:val="21"/>
          <w:highlight w:val="none"/>
        </w:rPr>
        <w:t>设计</w:t>
      </w:r>
      <w:r>
        <w:rPr>
          <w:rFonts w:hint="eastAsia" w:ascii="Times New Roman" w:hAnsi="Times New Roman" w:eastAsiaTheme="minorEastAsia"/>
          <w:szCs w:val="21"/>
          <w:highlight w:val="none"/>
          <w:lang w:eastAsia="zh-CN"/>
        </w:rPr>
        <w:t>、</w:t>
      </w:r>
      <w:r>
        <w:rPr>
          <w:rFonts w:hint="default" w:ascii="Times New Roman" w:hAnsi="Times New Roman" w:eastAsiaTheme="minorEastAsia"/>
          <w:szCs w:val="21"/>
          <w:highlight w:val="none"/>
        </w:rPr>
        <w:t>施工、监理等单位进行</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验收。</w:t>
      </w:r>
    </w:p>
    <w:p w14:paraId="7E72C757">
      <w:pPr>
        <w:spacing w:line="312" w:lineRule="exact"/>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6.5.</w:t>
      </w:r>
      <w:r>
        <w:rPr>
          <w:rFonts w:hint="default" w:ascii="Times New Roman" w:hAnsi="Times New Roman" w:eastAsia="黑体"/>
          <w:b/>
          <w:bCs/>
          <w:kern w:val="0"/>
          <w:szCs w:val="21"/>
          <w:highlight w:val="none"/>
          <w:lang w:val="en-US" w:eastAsia="zh-CN"/>
        </w:rPr>
        <w:t>2</w:t>
      </w:r>
      <w:r>
        <w:rPr>
          <w:rFonts w:hint="default" w:ascii="Times New Roman" w:hAnsi="Times New Roman" w:eastAsiaTheme="minorEastAsia"/>
          <w:b/>
          <w:kern w:val="0"/>
          <w:szCs w:val="21"/>
          <w:highlight w:val="none"/>
        </w:rPr>
        <w:t xml:space="preserve"> </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rPr>
        <w:t>验收应</w:t>
      </w:r>
      <w:r>
        <w:rPr>
          <w:rFonts w:hint="default" w:ascii="Times New Roman" w:hAnsi="Times New Roman" w:eastAsiaTheme="minorEastAsia"/>
          <w:szCs w:val="21"/>
          <w:highlight w:val="none"/>
          <w:lang w:val="en-US" w:eastAsia="zh-CN"/>
        </w:rPr>
        <w:t>在</w:t>
      </w:r>
      <w:r>
        <w:rPr>
          <w:rFonts w:hint="default" w:ascii="Times New Roman" w:hAnsi="Times New Roman" w:eastAsiaTheme="minorEastAsia"/>
          <w:szCs w:val="21"/>
          <w:highlight w:val="none"/>
        </w:rPr>
        <w:t>施工单位自检合格的基础上进行，并应具备下列资料：</w:t>
      </w:r>
    </w:p>
    <w:p w14:paraId="555ADE20">
      <w:pPr>
        <w:spacing w:line="312" w:lineRule="exact"/>
        <w:ind w:firstLine="422" w:firstLineChars="200"/>
        <w:rPr>
          <w:rFonts w:hint="default" w:ascii="Times New Roman" w:hAnsi="Times New Roman" w:eastAsiaTheme="minorEastAsia"/>
          <w:szCs w:val="21"/>
          <w:highlight w:val="none"/>
          <w:lang w:val="en-US" w:eastAsia="zh-CN"/>
        </w:rPr>
      </w:pPr>
      <w:r>
        <w:rPr>
          <w:rFonts w:hint="default" w:ascii="Times New Roman" w:hAnsi="Times New Roman" w:eastAsia="黑体"/>
          <w:b/>
          <w:bCs/>
          <w:kern w:val="0"/>
          <w:szCs w:val="21"/>
          <w:highlight w:val="none"/>
        </w:rPr>
        <w:t>1</w:t>
      </w:r>
      <w:r>
        <w:rPr>
          <w:rFonts w:hint="default" w:ascii="Times New Roman" w:hAnsi="Times New Roman" w:eastAsiaTheme="minorEastAsia"/>
          <w:szCs w:val="21"/>
          <w:highlight w:val="none"/>
        </w:rPr>
        <w:t xml:space="preserve"> 岩土工程勘察报告、桩基施工图、图纸会审纪要、设计变更</w:t>
      </w:r>
      <w:r>
        <w:rPr>
          <w:rFonts w:hint="default" w:ascii="Times New Roman" w:hAnsi="Times New Roman" w:eastAsiaTheme="minorEastAsia"/>
          <w:szCs w:val="21"/>
          <w:highlight w:val="none"/>
          <w:lang w:eastAsia="zh-CN"/>
        </w:rPr>
        <w:t>；</w:t>
      </w:r>
      <w:r>
        <w:rPr>
          <w:rFonts w:hint="default" w:ascii="Times New Roman" w:hAnsi="Times New Roman" w:eastAsiaTheme="minorEastAsia"/>
          <w:szCs w:val="21"/>
          <w:highlight w:val="none"/>
          <w:lang w:val="en-US" w:eastAsia="zh-CN"/>
        </w:rPr>
        <w:t xml:space="preserve"> </w:t>
      </w:r>
    </w:p>
    <w:p w14:paraId="41751514">
      <w:pPr>
        <w:spacing w:line="312" w:lineRule="exact"/>
        <w:ind w:firstLine="422" w:firstLineChars="200"/>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2</w:t>
      </w:r>
      <w:r>
        <w:rPr>
          <w:rFonts w:hint="default" w:ascii="Times New Roman" w:hAnsi="Times New Roman" w:eastAsiaTheme="minorEastAsia"/>
          <w:szCs w:val="21"/>
          <w:highlight w:val="none"/>
        </w:rPr>
        <w:t xml:space="preserve"> 经审批的施工组织设计、施工方案、技术交底</w:t>
      </w:r>
      <w:r>
        <w:rPr>
          <w:rFonts w:hint="default" w:ascii="Times New Roman" w:hAnsi="Times New Roman" w:eastAsiaTheme="minorEastAsia"/>
          <w:szCs w:val="21"/>
          <w:highlight w:val="none"/>
          <w:lang w:eastAsia="zh-CN"/>
        </w:rPr>
        <w:t>；</w:t>
      </w:r>
    </w:p>
    <w:p w14:paraId="6B41211C">
      <w:pPr>
        <w:spacing w:line="312" w:lineRule="exact"/>
        <w:ind w:firstLine="422" w:firstLineChars="200"/>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3</w:t>
      </w:r>
      <w:r>
        <w:rPr>
          <w:rFonts w:hint="default" w:ascii="Times New Roman" w:hAnsi="Times New Roman" w:eastAsiaTheme="minorEastAsia"/>
          <w:szCs w:val="21"/>
          <w:highlight w:val="none"/>
        </w:rPr>
        <w:t xml:space="preserve"> 桩位测量放线图，包括工程桩位线复核签证单</w:t>
      </w:r>
      <w:r>
        <w:rPr>
          <w:rFonts w:hint="default" w:ascii="Times New Roman" w:hAnsi="Times New Roman" w:eastAsiaTheme="minorEastAsia"/>
          <w:szCs w:val="21"/>
          <w:highlight w:val="none"/>
          <w:lang w:eastAsia="zh-CN"/>
        </w:rPr>
        <w:t>；</w:t>
      </w:r>
    </w:p>
    <w:p w14:paraId="40E20756">
      <w:pPr>
        <w:spacing w:line="312" w:lineRule="exact"/>
        <w:ind w:firstLine="422" w:firstLineChars="200"/>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4</w:t>
      </w:r>
      <w:r>
        <w:rPr>
          <w:rFonts w:hint="default" w:ascii="Times New Roman" w:hAnsi="Times New Roman" w:eastAsiaTheme="minorEastAsia"/>
          <w:szCs w:val="21"/>
          <w:highlight w:val="none"/>
        </w:rPr>
        <w:t xml:space="preserve"> </w:t>
      </w:r>
      <w:r>
        <w:rPr>
          <w:rFonts w:hint="eastAsia" w:ascii="Times New Roman" w:hAnsi="Times New Roman" w:eastAsiaTheme="minorEastAsia"/>
          <w:szCs w:val="21"/>
          <w:highlight w:val="none"/>
          <w:lang w:val="en-US" w:eastAsia="zh-CN"/>
        </w:rPr>
        <w:t>预制</w:t>
      </w:r>
      <w:r>
        <w:rPr>
          <w:rFonts w:hint="default" w:ascii="Times New Roman" w:hAnsi="Times New Roman" w:eastAsiaTheme="minorEastAsia"/>
          <w:szCs w:val="21"/>
          <w:highlight w:val="none"/>
        </w:rPr>
        <w:t>桩的出厂合格证、相关技术参数说明、进场验收记录</w:t>
      </w:r>
      <w:r>
        <w:rPr>
          <w:rFonts w:hint="default" w:ascii="Times New Roman" w:hAnsi="Times New Roman" w:eastAsiaTheme="minorEastAsia"/>
          <w:szCs w:val="21"/>
          <w:highlight w:val="none"/>
          <w:lang w:eastAsia="zh-CN"/>
        </w:rPr>
        <w:t>；</w:t>
      </w:r>
    </w:p>
    <w:p w14:paraId="76D332A5">
      <w:pPr>
        <w:spacing w:line="312" w:lineRule="exact"/>
        <w:ind w:firstLine="422" w:firstLineChars="200"/>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5</w:t>
      </w:r>
      <w:r>
        <w:rPr>
          <w:rFonts w:hint="default" w:ascii="Times New Roman" w:hAnsi="Times New Roman" w:eastAsiaTheme="minorEastAsia"/>
          <w:szCs w:val="21"/>
          <w:highlight w:val="none"/>
        </w:rPr>
        <w:t xml:space="preserve"> 水泥等其他材料的质量合格证、见证取样文件及复验报告</w:t>
      </w:r>
      <w:r>
        <w:rPr>
          <w:rFonts w:hint="default" w:ascii="Times New Roman" w:hAnsi="Times New Roman" w:eastAsiaTheme="minorEastAsia"/>
          <w:szCs w:val="21"/>
          <w:highlight w:val="none"/>
          <w:lang w:eastAsia="zh-CN"/>
        </w:rPr>
        <w:t>；</w:t>
      </w:r>
    </w:p>
    <w:p w14:paraId="43A6FF87">
      <w:pPr>
        <w:spacing w:line="312" w:lineRule="exact"/>
        <w:ind w:firstLine="422" w:firstLineChars="200"/>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6</w:t>
      </w:r>
      <w:r>
        <w:rPr>
          <w:rFonts w:hint="default" w:ascii="Times New Roman" w:hAnsi="Times New Roman" w:eastAsiaTheme="minorEastAsia"/>
          <w:szCs w:val="21"/>
          <w:highlight w:val="none"/>
        </w:rPr>
        <w:t xml:space="preserve"> 施工记录及隐蔽工程验收文件</w:t>
      </w:r>
      <w:r>
        <w:rPr>
          <w:rFonts w:hint="default" w:ascii="Times New Roman" w:hAnsi="Times New Roman" w:eastAsiaTheme="minorEastAsia"/>
          <w:szCs w:val="21"/>
          <w:highlight w:val="none"/>
          <w:lang w:eastAsia="zh-CN"/>
        </w:rPr>
        <w:t>；</w:t>
      </w:r>
    </w:p>
    <w:p w14:paraId="7946CCED">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7</w:t>
      </w:r>
      <w:r>
        <w:rPr>
          <w:rFonts w:hint="default" w:ascii="Times New Roman" w:hAnsi="Times New Roman" w:eastAsiaTheme="minorEastAsia"/>
          <w:szCs w:val="21"/>
          <w:highlight w:val="none"/>
        </w:rPr>
        <w:t xml:space="preserve"> 工程质量事故及事故调查处理资料</w:t>
      </w:r>
      <w:r>
        <w:rPr>
          <w:rFonts w:hint="default" w:ascii="Times New Roman" w:hAnsi="Times New Roman" w:eastAsiaTheme="minorEastAsia"/>
          <w:szCs w:val="21"/>
          <w:highlight w:val="none"/>
          <w:lang w:eastAsia="zh-CN"/>
        </w:rPr>
        <w:t>；</w:t>
      </w:r>
    </w:p>
    <w:p w14:paraId="15A4594D">
      <w:pPr>
        <w:spacing w:line="312" w:lineRule="exact"/>
        <w:ind w:firstLine="422" w:firstLineChars="200"/>
        <w:rPr>
          <w:rFonts w:hint="default" w:ascii="Times New Roman" w:hAnsi="Times New Roman" w:eastAsiaTheme="minorEastAsia"/>
          <w:szCs w:val="21"/>
          <w:highlight w:val="none"/>
          <w:lang w:eastAsia="zh-CN"/>
        </w:rPr>
      </w:pPr>
      <w:r>
        <w:rPr>
          <w:rFonts w:hint="default" w:ascii="Times New Roman" w:hAnsi="Times New Roman" w:eastAsia="黑体"/>
          <w:b/>
          <w:bCs/>
          <w:kern w:val="0"/>
          <w:szCs w:val="21"/>
          <w:highlight w:val="none"/>
        </w:rPr>
        <w:t>8</w:t>
      </w:r>
      <w:r>
        <w:rPr>
          <w:rFonts w:hint="default" w:ascii="Times New Roman" w:hAnsi="Times New Roman" w:eastAsiaTheme="minorEastAsia"/>
          <w:szCs w:val="21"/>
          <w:highlight w:val="none"/>
        </w:rPr>
        <w:t xml:space="preserve"> 单桩承载力及桩身完整性检测报告</w:t>
      </w:r>
      <w:r>
        <w:rPr>
          <w:rFonts w:hint="default" w:ascii="Times New Roman" w:hAnsi="Times New Roman" w:eastAsiaTheme="minorEastAsia"/>
          <w:szCs w:val="21"/>
          <w:highlight w:val="none"/>
          <w:lang w:eastAsia="zh-CN"/>
        </w:rPr>
        <w:t>；</w:t>
      </w:r>
    </w:p>
    <w:p w14:paraId="4B036662">
      <w:pPr>
        <w:spacing w:line="312" w:lineRule="exact"/>
        <w:ind w:firstLine="422" w:firstLineChars="200"/>
        <w:rPr>
          <w:rFonts w:hint="default" w:ascii="Times New Roman" w:hAnsi="Times New Roman" w:eastAsiaTheme="minorEastAsia"/>
          <w:szCs w:val="21"/>
          <w:highlight w:val="none"/>
        </w:rPr>
      </w:pPr>
      <w:r>
        <w:rPr>
          <w:rFonts w:hint="default" w:ascii="Times New Roman" w:hAnsi="Times New Roman" w:eastAsia="黑体"/>
          <w:b/>
          <w:bCs/>
          <w:kern w:val="0"/>
          <w:szCs w:val="21"/>
          <w:highlight w:val="none"/>
        </w:rPr>
        <w:t>9</w:t>
      </w:r>
      <w:r>
        <w:rPr>
          <w:rFonts w:hint="default" w:ascii="Times New Roman" w:hAnsi="Times New Roman" w:eastAsiaTheme="minorEastAsia"/>
          <w:szCs w:val="21"/>
          <w:highlight w:val="none"/>
        </w:rPr>
        <w:t xml:space="preserve"> 基坑挖至设计标高时基桩竣工平面图及桩顶标高图；</w:t>
      </w:r>
    </w:p>
    <w:p w14:paraId="116BB784">
      <w:pPr>
        <w:spacing w:line="312" w:lineRule="exact"/>
        <w:ind w:firstLine="422" w:firstLineChars="200"/>
        <w:rPr>
          <w:rFonts w:hint="default" w:ascii="Times New Roman" w:hAnsi="Times New Roman"/>
          <w:highlight w:val="none"/>
        </w:rPr>
      </w:pPr>
      <w:r>
        <w:rPr>
          <w:rFonts w:hint="default" w:ascii="Times New Roman" w:hAnsi="Times New Roman" w:eastAsia="黑体"/>
          <w:b/>
          <w:bCs/>
          <w:kern w:val="0"/>
          <w:szCs w:val="21"/>
          <w:highlight w:val="none"/>
        </w:rPr>
        <w:t>10</w:t>
      </w:r>
      <w:r>
        <w:rPr>
          <w:rFonts w:hint="default" w:ascii="Times New Roman" w:hAnsi="Times New Roman" w:eastAsiaTheme="minorEastAsia"/>
          <w:szCs w:val="21"/>
          <w:highlight w:val="none"/>
        </w:rPr>
        <w:t xml:space="preserve"> 其他必须提供的文件或记录。</w:t>
      </w:r>
      <w:bookmarkStart w:id="162" w:name="_Toc246392758"/>
      <w:bookmarkStart w:id="163" w:name="_Toc246820974"/>
      <w:bookmarkStart w:id="164" w:name="_Toc478810169"/>
      <w:bookmarkStart w:id="165" w:name="_Toc478803312"/>
    </w:p>
    <w:bookmarkEnd w:id="162"/>
    <w:bookmarkEnd w:id="163"/>
    <w:bookmarkEnd w:id="164"/>
    <w:bookmarkEnd w:id="165"/>
    <w:p w14:paraId="792C443C">
      <w:pPr>
        <w:rPr>
          <w:rFonts w:ascii="Times New Roman" w:hAnsi="Times New Roman"/>
          <w:highlight w:val="none"/>
        </w:rPr>
      </w:pPr>
      <w:r>
        <w:rPr>
          <w:rFonts w:ascii="Times New Roman" w:hAnsi="Times New Roman"/>
          <w:highlight w:val="none"/>
        </w:rPr>
        <w:br w:type="page"/>
      </w:r>
    </w:p>
    <w:p w14:paraId="2B4762A2">
      <w:pPr>
        <w:adjustRightInd w:val="0"/>
        <w:snapToGrid w:val="0"/>
        <w:spacing w:line="312" w:lineRule="exact"/>
        <w:rPr>
          <w:rFonts w:ascii="Times New Roman" w:hAnsi="Times New Roman"/>
          <w:highlight w:val="none"/>
        </w:rPr>
        <w:sectPr>
          <w:pgSz w:w="7938" w:h="11510"/>
          <w:pgMar w:top="1418" w:right="1021" w:bottom="1134" w:left="1021" w:header="851" w:footer="851" w:gutter="0"/>
          <w:pgBorders>
            <w:top w:val="none" w:sz="0" w:space="0"/>
            <w:left w:val="none" w:sz="0" w:space="0"/>
            <w:bottom w:val="none" w:sz="0" w:space="0"/>
            <w:right w:val="none" w:sz="0" w:space="0"/>
          </w:pgBorders>
          <w:pgNumType w:start="1"/>
          <w:cols w:space="720" w:num="1"/>
          <w:docGrid w:type="lines" w:linePitch="312" w:charSpace="0"/>
        </w:sectPr>
      </w:pPr>
    </w:p>
    <w:p w14:paraId="3FF2298C">
      <w:pPr>
        <w:pStyle w:val="2"/>
        <w:spacing w:before="156" w:after="156"/>
        <w:rPr>
          <w:rFonts w:hint="default" w:ascii="Times New Roman" w:hAnsi="Times New Roman"/>
          <w:highlight w:val="none"/>
          <w:lang w:val="en-US"/>
        </w:rPr>
      </w:pPr>
      <w:bookmarkStart w:id="166" w:name="_Toc7145"/>
      <w:bookmarkStart w:id="167" w:name="_Toc26916"/>
      <w:bookmarkStart w:id="168" w:name="_Toc11038"/>
      <w:r>
        <w:rPr>
          <w:rFonts w:ascii="Times New Roman" w:hAnsi="Times New Roman"/>
          <w:highlight w:val="none"/>
        </w:rPr>
        <w:t>附录</w:t>
      </w:r>
      <w:r>
        <w:rPr>
          <w:rFonts w:hint="default" w:ascii="Times New Roman" w:hAnsi="Times New Roman"/>
          <w:highlight w:val="none"/>
          <w:lang w:val="en-US" w:eastAsia="zh-CN"/>
        </w:rPr>
        <w:t>A</w:t>
      </w:r>
      <w:r>
        <w:rPr>
          <w:rFonts w:ascii="Times New Roman" w:hAnsi="Times New Roman"/>
          <w:highlight w:val="none"/>
        </w:rPr>
        <w:t xml:space="preserve">  </w:t>
      </w:r>
      <w:r>
        <w:rPr>
          <w:rFonts w:hint="default" w:ascii="Times New Roman" w:hAnsi="Times New Roman"/>
          <w:highlight w:val="none"/>
          <w:lang w:val="en-US" w:eastAsia="zh-CN"/>
        </w:rPr>
        <w:t>预成孔施工记录</w:t>
      </w:r>
      <w:bookmarkEnd w:id="166"/>
      <w:bookmarkEnd w:id="167"/>
      <w:r>
        <w:rPr>
          <w:rFonts w:hint="eastAsia" w:ascii="Times New Roman" w:hAnsi="Times New Roman"/>
          <w:highlight w:val="none"/>
          <w:lang w:val="en-US" w:eastAsia="zh-CN"/>
        </w:rPr>
        <w:t>表</w:t>
      </w:r>
      <w:bookmarkEnd w:id="168"/>
    </w:p>
    <w:p w14:paraId="12CA5FDD">
      <w:pPr>
        <w:jc w:val="center"/>
        <w:rPr>
          <w:rFonts w:ascii="Times New Roman" w:hAnsi="Times New Roman"/>
          <w:b/>
          <w:sz w:val="20"/>
          <w:szCs w:val="20"/>
          <w:highlight w:val="none"/>
        </w:rPr>
      </w:pPr>
      <w:r>
        <w:rPr>
          <w:rFonts w:hint="default" w:ascii="Times New Roman" w:hAnsi="Times New Roman"/>
          <w:b/>
          <w:sz w:val="20"/>
          <w:szCs w:val="20"/>
          <w:highlight w:val="none"/>
        </w:rPr>
        <w:t>表A</w:t>
      </w:r>
      <w:r>
        <w:rPr>
          <w:rFonts w:hint="default" w:ascii="Times New Roman" w:hAnsi="Times New Roman"/>
          <w:b/>
          <w:sz w:val="20"/>
          <w:szCs w:val="20"/>
          <w:highlight w:val="none"/>
          <w:lang w:val="en-US" w:eastAsia="zh-CN"/>
        </w:rPr>
        <w:t xml:space="preserve">.1 </w:t>
      </w:r>
      <w:r>
        <w:rPr>
          <w:rFonts w:hint="default" w:ascii="Times New Roman" w:hAnsi="Times New Roman"/>
          <w:b/>
          <w:sz w:val="20"/>
          <w:szCs w:val="20"/>
          <w:highlight w:val="none"/>
        </w:rPr>
        <w:t>搅拌</w:t>
      </w:r>
      <w:r>
        <w:rPr>
          <w:rFonts w:hint="eastAsia" w:ascii="Times New Roman" w:hAnsi="Times New Roman"/>
          <w:b/>
          <w:sz w:val="20"/>
          <w:szCs w:val="20"/>
          <w:highlight w:val="none"/>
          <w:lang w:val="en-US" w:eastAsia="zh-CN"/>
        </w:rPr>
        <w:t>工艺</w:t>
      </w:r>
      <w:r>
        <w:rPr>
          <w:rFonts w:hint="default" w:ascii="Times New Roman" w:hAnsi="Times New Roman"/>
          <w:b/>
          <w:sz w:val="20"/>
          <w:szCs w:val="20"/>
          <w:highlight w:val="none"/>
        </w:rPr>
        <w:t>施工记录表</w:t>
      </w:r>
    </w:p>
    <w:p w14:paraId="7966665B">
      <w:pPr>
        <w:rPr>
          <w:rFonts w:hint="default" w:ascii="Times New Roman" w:hAnsi="Times New Roman" w:eastAsia="宋体"/>
          <w:sz w:val="15"/>
          <w:szCs w:val="13"/>
          <w:highlight w:val="none"/>
          <w:lang w:val="en-US" w:eastAsia="zh-CN"/>
        </w:rPr>
      </w:pPr>
      <w:r>
        <w:rPr>
          <w:rFonts w:hint="default" w:ascii="Times New Roman" w:hAnsi="Times New Roman"/>
          <w:sz w:val="15"/>
          <w:szCs w:val="13"/>
          <w:highlight w:val="none"/>
        </w:rPr>
        <w:t xml:space="preserve">工程名称：                                    </w:t>
      </w:r>
      <w:r>
        <w:rPr>
          <w:rFonts w:hint="default" w:ascii="Times New Roman" w:hAnsi="Times New Roman"/>
          <w:color w:val="000000" w:themeColor="text1"/>
          <w:sz w:val="15"/>
          <w:szCs w:val="13"/>
          <w:highlight w:val="none"/>
          <w14:textFill>
            <w14:solidFill>
              <w14:schemeClr w14:val="tx1"/>
            </w14:solidFill>
          </w14:textFill>
        </w:rPr>
        <w:t xml:space="preserve">施工单位： </w:t>
      </w:r>
      <w:r>
        <w:rPr>
          <w:rFonts w:ascii="Times New Roman" w:hAnsi="Times New Roman"/>
          <w:color w:val="000000" w:themeColor="text1"/>
          <w:sz w:val="15"/>
          <w:szCs w:val="13"/>
          <w:highlight w:val="none"/>
          <w14:textFill>
            <w14:solidFill>
              <w14:schemeClr w14:val="tx1"/>
            </w14:solidFill>
          </w14:textFill>
        </w:rPr>
        <w:t xml:space="preserve">    </w:t>
      </w:r>
      <w:r>
        <w:rPr>
          <w:rFonts w:hint="default" w:ascii="Times New Roman" w:hAnsi="Times New Roman"/>
          <w:color w:val="000000" w:themeColor="text1"/>
          <w:sz w:val="15"/>
          <w:szCs w:val="13"/>
          <w:highlight w:val="none"/>
          <w:lang w:val="en-US" w:eastAsia="zh-CN"/>
          <w14:textFill>
            <w14:solidFill>
              <w14:schemeClr w14:val="tx1"/>
            </w14:solidFill>
          </w14:textFill>
        </w:rPr>
        <w:t xml:space="preserve">     </w:t>
      </w:r>
      <w:r>
        <w:rPr>
          <w:rFonts w:hint="default" w:ascii="Times New Roman" w:hAnsi="Times New Roman"/>
          <w:color w:val="000000" w:themeColor="text1"/>
          <w:sz w:val="15"/>
          <w:szCs w:val="13"/>
          <w:highlight w:val="none"/>
          <w14:textFill>
            <w14:solidFill>
              <w14:schemeClr w14:val="tx1"/>
            </w14:solidFill>
          </w14:textFill>
        </w:rPr>
        <w:t>记录：</w:t>
      </w:r>
    </w:p>
    <w:p w14:paraId="21F982C6">
      <w:pPr>
        <w:rPr>
          <w:rFonts w:ascii="Times New Roman" w:hAnsi="Times New Roman"/>
          <w:sz w:val="15"/>
          <w:szCs w:val="13"/>
          <w:highlight w:val="none"/>
        </w:rPr>
      </w:pPr>
      <w:r>
        <w:rPr>
          <w:rFonts w:hint="default" w:ascii="Times New Roman" w:hAnsi="Times New Roman"/>
          <w:sz w:val="15"/>
          <w:szCs w:val="13"/>
          <w:highlight w:val="none"/>
        </w:rPr>
        <w:t>设计桩顶标高：         设计桩底标高：         钻机类型：          编号：</w:t>
      </w:r>
    </w:p>
    <w:tbl>
      <w:tblPr>
        <w:tblStyle w:val="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
        <w:gridCol w:w="390"/>
        <w:gridCol w:w="390"/>
        <w:gridCol w:w="700"/>
        <w:gridCol w:w="450"/>
        <w:gridCol w:w="450"/>
        <w:gridCol w:w="440"/>
        <w:gridCol w:w="880"/>
        <w:gridCol w:w="510"/>
        <w:gridCol w:w="716"/>
        <w:gridCol w:w="1080"/>
        <w:gridCol w:w="648"/>
        <w:gridCol w:w="876"/>
        <w:gridCol w:w="724"/>
        <w:gridCol w:w="390"/>
      </w:tblGrid>
      <w:tr w14:paraId="1EB78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0" w:type="auto"/>
            <w:vMerge w:val="restart"/>
            <w:vAlign w:val="center"/>
          </w:tcPr>
          <w:p w14:paraId="6786845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序号</w:t>
            </w:r>
          </w:p>
        </w:tc>
        <w:tc>
          <w:tcPr>
            <w:tcW w:w="0" w:type="auto"/>
            <w:vMerge w:val="restart"/>
            <w:vAlign w:val="center"/>
          </w:tcPr>
          <w:p w14:paraId="3DB58D0D">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桩号</w:t>
            </w:r>
          </w:p>
        </w:tc>
        <w:tc>
          <w:tcPr>
            <w:tcW w:w="0" w:type="auto"/>
            <w:vMerge w:val="restart"/>
            <w:vAlign w:val="center"/>
          </w:tcPr>
          <w:p w14:paraId="1FEAB59A">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施工</w:t>
            </w:r>
          </w:p>
          <w:p w14:paraId="63C3D47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日期</w:t>
            </w:r>
          </w:p>
        </w:tc>
        <w:tc>
          <w:tcPr>
            <w:tcW w:w="700" w:type="dxa"/>
            <w:vMerge w:val="restart"/>
            <w:vAlign w:val="center"/>
          </w:tcPr>
          <w:p w14:paraId="2A31E6C6">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地面</w:t>
            </w:r>
          </w:p>
          <w:p w14:paraId="1CA11C0F">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标高（m）</w:t>
            </w:r>
          </w:p>
        </w:tc>
        <w:tc>
          <w:tcPr>
            <w:tcW w:w="450" w:type="dxa"/>
            <w:vMerge w:val="restart"/>
            <w:vAlign w:val="center"/>
          </w:tcPr>
          <w:p w14:paraId="60D11733">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施工工序</w:t>
            </w:r>
          </w:p>
        </w:tc>
        <w:tc>
          <w:tcPr>
            <w:tcW w:w="1770" w:type="dxa"/>
            <w:gridSpan w:val="3"/>
            <w:vAlign w:val="center"/>
          </w:tcPr>
          <w:p w14:paraId="628ADBB1">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时间</w:t>
            </w:r>
          </w:p>
        </w:tc>
        <w:tc>
          <w:tcPr>
            <w:tcW w:w="510" w:type="dxa"/>
            <w:vMerge w:val="restart"/>
            <w:vAlign w:val="center"/>
          </w:tcPr>
          <w:p w14:paraId="011A30E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浆液</w:t>
            </w:r>
          </w:p>
          <w:p w14:paraId="24C86B3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压力</w:t>
            </w:r>
          </w:p>
        </w:tc>
        <w:tc>
          <w:tcPr>
            <w:tcW w:w="716" w:type="dxa"/>
            <w:vMerge w:val="restart"/>
            <w:vAlign w:val="center"/>
          </w:tcPr>
          <w:p w14:paraId="2AD2F26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钻杆旋转速度</w:t>
            </w:r>
          </w:p>
        </w:tc>
        <w:tc>
          <w:tcPr>
            <w:tcW w:w="1080" w:type="dxa"/>
            <w:vMerge w:val="restart"/>
            <w:vAlign w:val="center"/>
          </w:tcPr>
          <w:p w14:paraId="3B8B1E6F">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钻杆下沉/提升速度</w:t>
            </w:r>
          </w:p>
        </w:tc>
        <w:tc>
          <w:tcPr>
            <w:tcW w:w="648" w:type="dxa"/>
            <w:vMerge w:val="restart"/>
            <w:vAlign w:val="center"/>
          </w:tcPr>
          <w:p w14:paraId="5F7ADF7F">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垂直度偏差</w:t>
            </w:r>
          </w:p>
        </w:tc>
        <w:tc>
          <w:tcPr>
            <w:tcW w:w="876" w:type="dxa"/>
            <w:vMerge w:val="restart"/>
            <w:vAlign w:val="center"/>
          </w:tcPr>
          <w:p w14:paraId="471D273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泥浆用量</w:t>
            </w:r>
          </w:p>
        </w:tc>
        <w:tc>
          <w:tcPr>
            <w:tcW w:w="724" w:type="dxa"/>
            <w:vMerge w:val="restart"/>
            <w:vAlign w:val="center"/>
          </w:tcPr>
          <w:p w14:paraId="7626DA0F">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引孔深度</w:t>
            </w:r>
          </w:p>
        </w:tc>
        <w:tc>
          <w:tcPr>
            <w:tcW w:w="0" w:type="auto"/>
            <w:vMerge w:val="restart"/>
            <w:vAlign w:val="center"/>
          </w:tcPr>
          <w:p w14:paraId="368569BE">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备注</w:t>
            </w:r>
          </w:p>
        </w:tc>
      </w:tr>
      <w:tr w14:paraId="48501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0" w:type="auto"/>
            <w:vMerge w:val="continue"/>
            <w:vAlign w:val="center"/>
          </w:tcPr>
          <w:p w14:paraId="0B965FA0">
            <w:pPr>
              <w:jc w:val="center"/>
              <w:rPr>
                <w:rFonts w:ascii="Times New Roman" w:hAnsi="Times New Roman"/>
                <w:sz w:val="15"/>
                <w:szCs w:val="13"/>
                <w:highlight w:val="none"/>
              </w:rPr>
            </w:pPr>
          </w:p>
        </w:tc>
        <w:tc>
          <w:tcPr>
            <w:tcW w:w="0" w:type="auto"/>
            <w:vMerge w:val="continue"/>
            <w:vAlign w:val="center"/>
          </w:tcPr>
          <w:p w14:paraId="0ABFA9CB">
            <w:pPr>
              <w:jc w:val="center"/>
              <w:rPr>
                <w:rFonts w:ascii="Times New Roman" w:hAnsi="Times New Roman"/>
                <w:sz w:val="15"/>
                <w:szCs w:val="13"/>
                <w:highlight w:val="none"/>
              </w:rPr>
            </w:pPr>
          </w:p>
        </w:tc>
        <w:tc>
          <w:tcPr>
            <w:tcW w:w="0" w:type="auto"/>
            <w:vMerge w:val="continue"/>
            <w:vAlign w:val="center"/>
          </w:tcPr>
          <w:p w14:paraId="2953BB84">
            <w:pPr>
              <w:jc w:val="center"/>
              <w:rPr>
                <w:rFonts w:ascii="Times New Roman" w:hAnsi="Times New Roman"/>
                <w:sz w:val="15"/>
                <w:szCs w:val="13"/>
                <w:highlight w:val="none"/>
              </w:rPr>
            </w:pPr>
          </w:p>
        </w:tc>
        <w:tc>
          <w:tcPr>
            <w:tcW w:w="700" w:type="dxa"/>
            <w:vMerge w:val="continue"/>
            <w:vAlign w:val="center"/>
          </w:tcPr>
          <w:p w14:paraId="57FC43DF">
            <w:pPr>
              <w:jc w:val="center"/>
              <w:rPr>
                <w:rFonts w:ascii="Times New Roman" w:hAnsi="Times New Roman"/>
                <w:sz w:val="15"/>
                <w:szCs w:val="13"/>
                <w:highlight w:val="none"/>
              </w:rPr>
            </w:pPr>
          </w:p>
        </w:tc>
        <w:tc>
          <w:tcPr>
            <w:tcW w:w="450" w:type="dxa"/>
            <w:vMerge w:val="continue"/>
            <w:vAlign w:val="center"/>
          </w:tcPr>
          <w:p w14:paraId="1551961C">
            <w:pPr>
              <w:jc w:val="center"/>
              <w:rPr>
                <w:rFonts w:ascii="Times New Roman" w:hAnsi="Times New Roman"/>
                <w:sz w:val="15"/>
                <w:szCs w:val="13"/>
                <w:highlight w:val="none"/>
              </w:rPr>
            </w:pPr>
          </w:p>
        </w:tc>
        <w:tc>
          <w:tcPr>
            <w:tcW w:w="450" w:type="dxa"/>
            <w:vAlign w:val="center"/>
          </w:tcPr>
          <w:p w14:paraId="3221E165">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起</w:t>
            </w:r>
          </w:p>
        </w:tc>
        <w:tc>
          <w:tcPr>
            <w:tcW w:w="440" w:type="dxa"/>
            <w:vAlign w:val="center"/>
          </w:tcPr>
          <w:p w14:paraId="7F9ED653">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止</w:t>
            </w:r>
          </w:p>
        </w:tc>
        <w:tc>
          <w:tcPr>
            <w:tcW w:w="880" w:type="dxa"/>
            <w:vAlign w:val="center"/>
          </w:tcPr>
          <w:p w14:paraId="776252A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累计（min）</w:t>
            </w:r>
          </w:p>
        </w:tc>
        <w:tc>
          <w:tcPr>
            <w:tcW w:w="510" w:type="dxa"/>
            <w:vMerge w:val="continue"/>
            <w:vAlign w:val="center"/>
          </w:tcPr>
          <w:p w14:paraId="3CBF5795">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716" w:type="dxa"/>
            <w:vMerge w:val="continue"/>
            <w:vAlign w:val="center"/>
          </w:tcPr>
          <w:p w14:paraId="3CB549B1">
            <w:pPr>
              <w:jc w:val="center"/>
              <w:rPr>
                <w:rFonts w:ascii="Times New Roman" w:hAnsi="Times New Roman"/>
                <w:sz w:val="15"/>
                <w:szCs w:val="13"/>
                <w:highlight w:val="none"/>
              </w:rPr>
            </w:pPr>
          </w:p>
        </w:tc>
        <w:tc>
          <w:tcPr>
            <w:tcW w:w="1080" w:type="dxa"/>
            <w:vMerge w:val="continue"/>
            <w:vAlign w:val="center"/>
          </w:tcPr>
          <w:p w14:paraId="170993E5">
            <w:pPr>
              <w:jc w:val="center"/>
              <w:rPr>
                <w:rFonts w:ascii="Times New Roman" w:hAnsi="Times New Roman"/>
                <w:sz w:val="15"/>
                <w:szCs w:val="13"/>
                <w:highlight w:val="none"/>
              </w:rPr>
            </w:pPr>
          </w:p>
        </w:tc>
        <w:tc>
          <w:tcPr>
            <w:tcW w:w="648" w:type="dxa"/>
            <w:vMerge w:val="continue"/>
            <w:vAlign w:val="center"/>
          </w:tcPr>
          <w:p w14:paraId="00F2E998">
            <w:pPr>
              <w:jc w:val="center"/>
              <w:rPr>
                <w:rFonts w:ascii="Times New Roman" w:hAnsi="Times New Roman"/>
                <w:sz w:val="15"/>
                <w:szCs w:val="13"/>
                <w:highlight w:val="none"/>
              </w:rPr>
            </w:pPr>
          </w:p>
        </w:tc>
        <w:tc>
          <w:tcPr>
            <w:tcW w:w="876" w:type="dxa"/>
            <w:vMerge w:val="continue"/>
            <w:vAlign w:val="center"/>
          </w:tcPr>
          <w:p w14:paraId="74DC48FF">
            <w:pPr>
              <w:jc w:val="center"/>
              <w:rPr>
                <w:rFonts w:ascii="Times New Roman" w:hAnsi="Times New Roman"/>
                <w:sz w:val="15"/>
                <w:szCs w:val="13"/>
                <w:highlight w:val="none"/>
              </w:rPr>
            </w:pPr>
          </w:p>
        </w:tc>
        <w:tc>
          <w:tcPr>
            <w:tcW w:w="724" w:type="dxa"/>
            <w:vMerge w:val="continue"/>
            <w:vAlign w:val="center"/>
          </w:tcPr>
          <w:p w14:paraId="468B821A">
            <w:pPr>
              <w:jc w:val="center"/>
              <w:rPr>
                <w:rFonts w:ascii="Times New Roman" w:hAnsi="Times New Roman"/>
                <w:sz w:val="15"/>
                <w:szCs w:val="13"/>
                <w:highlight w:val="none"/>
              </w:rPr>
            </w:pPr>
          </w:p>
        </w:tc>
        <w:tc>
          <w:tcPr>
            <w:tcW w:w="0" w:type="auto"/>
            <w:vMerge w:val="continue"/>
            <w:vAlign w:val="center"/>
          </w:tcPr>
          <w:p w14:paraId="74F67BD1">
            <w:pPr>
              <w:jc w:val="center"/>
              <w:rPr>
                <w:rFonts w:ascii="Times New Roman" w:hAnsi="Times New Roman"/>
                <w:sz w:val="15"/>
                <w:szCs w:val="13"/>
                <w:highlight w:val="none"/>
              </w:rPr>
            </w:pPr>
          </w:p>
        </w:tc>
      </w:tr>
      <w:tr w14:paraId="255C2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0" w:type="auto"/>
            <w:vAlign w:val="center"/>
          </w:tcPr>
          <w:p w14:paraId="72C94DA6">
            <w:pPr>
              <w:jc w:val="center"/>
              <w:rPr>
                <w:rFonts w:ascii="Times New Roman" w:hAnsi="Times New Roman"/>
                <w:sz w:val="15"/>
                <w:szCs w:val="13"/>
                <w:highlight w:val="none"/>
              </w:rPr>
            </w:pPr>
          </w:p>
        </w:tc>
        <w:tc>
          <w:tcPr>
            <w:tcW w:w="0" w:type="auto"/>
            <w:vAlign w:val="center"/>
          </w:tcPr>
          <w:p w14:paraId="440C9E33">
            <w:pPr>
              <w:jc w:val="center"/>
              <w:rPr>
                <w:rFonts w:ascii="Times New Roman" w:hAnsi="Times New Roman"/>
                <w:sz w:val="15"/>
                <w:szCs w:val="13"/>
                <w:highlight w:val="none"/>
              </w:rPr>
            </w:pPr>
          </w:p>
        </w:tc>
        <w:tc>
          <w:tcPr>
            <w:tcW w:w="0" w:type="auto"/>
            <w:vAlign w:val="center"/>
          </w:tcPr>
          <w:p w14:paraId="219FF59B">
            <w:pPr>
              <w:jc w:val="center"/>
              <w:rPr>
                <w:rFonts w:ascii="Times New Roman" w:hAnsi="Times New Roman"/>
                <w:sz w:val="15"/>
                <w:szCs w:val="13"/>
                <w:highlight w:val="none"/>
              </w:rPr>
            </w:pPr>
          </w:p>
        </w:tc>
        <w:tc>
          <w:tcPr>
            <w:tcW w:w="700" w:type="dxa"/>
            <w:vAlign w:val="center"/>
          </w:tcPr>
          <w:p w14:paraId="7777D224">
            <w:pPr>
              <w:jc w:val="center"/>
              <w:rPr>
                <w:rFonts w:ascii="Times New Roman" w:hAnsi="Times New Roman"/>
                <w:sz w:val="15"/>
                <w:szCs w:val="13"/>
                <w:highlight w:val="none"/>
              </w:rPr>
            </w:pPr>
          </w:p>
        </w:tc>
        <w:tc>
          <w:tcPr>
            <w:tcW w:w="450" w:type="dxa"/>
            <w:vAlign w:val="center"/>
          </w:tcPr>
          <w:p w14:paraId="0D261EDF">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450" w:type="dxa"/>
            <w:vAlign w:val="center"/>
          </w:tcPr>
          <w:p w14:paraId="3F6A99B3">
            <w:pPr>
              <w:jc w:val="center"/>
              <w:rPr>
                <w:rFonts w:ascii="Times New Roman" w:hAnsi="Times New Roman"/>
                <w:sz w:val="15"/>
                <w:szCs w:val="13"/>
                <w:highlight w:val="none"/>
              </w:rPr>
            </w:pPr>
          </w:p>
        </w:tc>
        <w:tc>
          <w:tcPr>
            <w:tcW w:w="440" w:type="dxa"/>
            <w:vAlign w:val="center"/>
          </w:tcPr>
          <w:p w14:paraId="55AD1CE0">
            <w:pPr>
              <w:jc w:val="center"/>
              <w:rPr>
                <w:rFonts w:ascii="Times New Roman" w:hAnsi="Times New Roman"/>
                <w:sz w:val="15"/>
                <w:szCs w:val="13"/>
                <w:highlight w:val="none"/>
              </w:rPr>
            </w:pPr>
          </w:p>
        </w:tc>
        <w:tc>
          <w:tcPr>
            <w:tcW w:w="880" w:type="dxa"/>
            <w:vAlign w:val="center"/>
          </w:tcPr>
          <w:p w14:paraId="254C7A7E">
            <w:pPr>
              <w:jc w:val="center"/>
              <w:rPr>
                <w:rFonts w:ascii="Times New Roman" w:hAnsi="Times New Roman"/>
                <w:sz w:val="15"/>
                <w:szCs w:val="13"/>
                <w:highlight w:val="none"/>
              </w:rPr>
            </w:pPr>
          </w:p>
        </w:tc>
        <w:tc>
          <w:tcPr>
            <w:tcW w:w="510" w:type="dxa"/>
            <w:vAlign w:val="center"/>
          </w:tcPr>
          <w:p w14:paraId="034FCF02">
            <w:pPr>
              <w:jc w:val="center"/>
              <w:rPr>
                <w:rFonts w:ascii="Times New Roman" w:hAnsi="Times New Roman"/>
                <w:sz w:val="15"/>
                <w:szCs w:val="13"/>
                <w:highlight w:val="none"/>
              </w:rPr>
            </w:pPr>
          </w:p>
        </w:tc>
        <w:tc>
          <w:tcPr>
            <w:tcW w:w="716" w:type="dxa"/>
            <w:vAlign w:val="center"/>
          </w:tcPr>
          <w:p w14:paraId="3928A15B">
            <w:pPr>
              <w:jc w:val="center"/>
              <w:rPr>
                <w:rFonts w:ascii="Times New Roman" w:hAnsi="Times New Roman"/>
                <w:sz w:val="15"/>
                <w:szCs w:val="13"/>
                <w:highlight w:val="none"/>
              </w:rPr>
            </w:pPr>
          </w:p>
        </w:tc>
        <w:tc>
          <w:tcPr>
            <w:tcW w:w="1080" w:type="dxa"/>
            <w:vAlign w:val="center"/>
          </w:tcPr>
          <w:p w14:paraId="0EC9E4E5">
            <w:pPr>
              <w:jc w:val="center"/>
              <w:rPr>
                <w:rFonts w:ascii="Times New Roman" w:hAnsi="Times New Roman"/>
                <w:sz w:val="15"/>
                <w:szCs w:val="13"/>
                <w:highlight w:val="none"/>
              </w:rPr>
            </w:pPr>
          </w:p>
        </w:tc>
        <w:tc>
          <w:tcPr>
            <w:tcW w:w="648" w:type="dxa"/>
            <w:vMerge w:val="restart"/>
            <w:vAlign w:val="center"/>
          </w:tcPr>
          <w:p w14:paraId="4234B8FE">
            <w:pPr>
              <w:jc w:val="center"/>
              <w:rPr>
                <w:rFonts w:ascii="Times New Roman" w:hAnsi="Times New Roman"/>
                <w:sz w:val="15"/>
                <w:szCs w:val="13"/>
                <w:highlight w:val="none"/>
              </w:rPr>
            </w:pPr>
          </w:p>
        </w:tc>
        <w:tc>
          <w:tcPr>
            <w:tcW w:w="876" w:type="dxa"/>
            <w:vMerge w:val="restart"/>
            <w:vAlign w:val="center"/>
          </w:tcPr>
          <w:p w14:paraId="724ADE8E">
            <w:pPr>
              <w:jc w:val="center"/>
              <w:rPr>
                <w:rFonts w:ascii="Times New Roman" w:hAnsi="Times New Roman"/>
                <w:sz w:val="15"/>
                <w:szCs w:val="13"/>
                <w:highlight w:val="none"/>
              </w:rPr>
            </w:pPr>
          </w:p>
        </w:tc>
        <w:tc>
          <w:tcPr>
            <w:tcW w:w="724" w:type="dxa"/>
            <w:vMerge w:val="restart"/>
            <w:vAlign w:val="center"/>
          </w:tcPr>
          <w:p w14:paraId="725E2F55">
            <w:pPr>
              <w:jc w:val="center"/>
              <w:rPr>
                <w:rFonts w:ascii="Times New Roman" w:hAnsi="Times New Roman"/>
                <w:sz w:val="15"/>
                <w:szCs w:val="13"/>
                <w:highlight w:val="none"/>
              </w:rPr>
            </w:pPr>
          </w:p>
        </w:tc>
        <w:tc>
          <w:tcPr>
            <w:tcW w:w="0" w:type="auto"/>
            <w:vMerge w:val="restart"/>
            <w:vAlign w:val="center"/>
          </w:tcPr>
          <w:p w14:paraId="685761BC">
            <w:pPr>
              <w:jc w:val="center"/>
              <w:rPr>
                <w:rFonts w:ascii="Times New Roman" w:hAnsi="Times New Roman"/>
                <w:sz w:val="15"/>
                <w:szCs w:val="13"/>
                <w:highlight w:val="none"/>
              </w:rPr>
            </w:pPr>
          </w:p>
        </w:tc>
      </w:tr>
      <w:tr w14:paraId="1138F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0" w:type="auto"/>
            <w:vAlign w:val="center"/>
          </w:tcPr>
          <w:p w14:paraId="26F90718">
            <w:pPr>
              <w:jc w:val="center"/>
              <w:rPr>
                <w:rFonts w:ascii="Times New Roman" w:hAnsi="Times New Roman"/>
                <w:sz w:val="15"/>
                <w:szCs w:val="13"/>
                <w:highlight w:val="none"/>
              </w:rPr>
            </w:pPr>
          </w:p>
        </w:tc>
        <w:tc>
          <w:tcPr>
            <w:tcW w:w="0" w:type="auto"/>
            <w:vAlign w:val="center"/>
          </w:tcPr>
          <w:p w14:paraId="19ED2CF1">
            <w:pPr>
              <w:jc w:val="center"/>
              <w:rPr>
                <w:rFonts w:ascii="Times New Roman" w:hAnsi="Times New Roman"/>
                <w:sz w:val="15"/>
                <w:szCs w:val="13"/>
                <w:highlight w:val="none"/>
              </w:rPr>
            </w:pPr>
          </w:p>
        </w:tc>
        <w:tc>
          <w:tcPr>
            <w:tcW w:w="0" w:type="auto"/>
            <w:vAlign w:val="center"/>
          </w:tcPr>
          <w:p w14:paraId="15D7463B">
            <w:pPr>
              <w:jc w:val="center"/>
              <w:rPr>
                <w:rFonts w:ascii="Times New Roman" w:hAnsi="Times New Roman"/>
                <w:sz w:val="15"/>
                <w:szCs w:val="13"/>
                <w:highlight w:val="none"/>
              </w:rPr>
            </w:pPr>
          </w:p>
        </w:tc>
        <w:tc>
          <w:tcPr>
            <w:tcW w:w="700" w:type="dxa"/>
            <w:vAlign w:val="center"/>
          </w:tcPr>
          <w:p w14:paraId="66B508B8">
            <w:pPr>
              <w:jc w:val="center"/>
              <w:rPr>
                <w:rFonts w:ascii="Times New Roman" w:hAnsi="Times New Roman"/>
                <w:sz w:val="15"/>
                <w:szCs w:val="13"/>
                <w:highlight w:val="none"/>
              </w:rPr>
            </w:pPr>
          </w:p>
        </w:tc>
        <w:tc>
          <w:tcPr>
            <w:tcW w:w="450" w:type="dxa"/>
            <w:vAlign w:val="center"/>
          </w:tcPr>
          <w:p w14:paraId="2AEEF6C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450" w:type="dxa"/>
            <w:vAlign w:val="center"/>
          </w:tcPr>
          <w:p w14:paraId="1A551C0B">
            <w:pPr>
              <w:jc w:val="center"/>
              <w:rPr>
                <w:rFonts w:ascii="Times New Roman" w:hAnsi="Times New Roman"/>
                <w:sz w:val="15"/>
                <w:szCs w:val="13"/>
                <w:highlight w:val="none"/>
              </w:rPr>
            </w:pPr>
          </w:p>
        </w:tc>
        <w:tc>
          <w:tcPr>
            <w:tcW w:w="440" w:type="dxa"/>
            <w:vAlign w:val="center"/>
          </w:tcPr>
          <w:p w14:paraId="10097E1C">
            <w:pPr>
              <w:jc w:val="center"/>
              <w:rPr>
                <w:rFonts w:ascii="Times New Roman" w:hAnsi="Times New Roman"/>
                <w:sz w:val="15"/>
                <w:szCs w:val="13"/>
                <w:highlight w:val="none"/>
              </w:rPr>
            </w:pPr>
          </w:p>
        </w:tc>
        <w:tc>
          <w:tcPr>
            <w:tcW w:w="880" w:type="dxa"/>
            <w:vAlign w:val="center"/>
          </w:tcPr>
          <w:p w14:paraId="2090BF47">
            <w:pPr>
              <w:jc w:val="center"/>
              <w:rPr>
                <w:rFonts w:ascii="Times New Roman" w:hAnsi="Times New Roman"/>
                <w:sz w:val="15"/>
                <w:szCs w:val="13"/>
                <w:highlight w:val="none"/>
              </w:rPr>
            </w:pPr>
          </w:p>
        </w:tc>
        <w:tc>
          <w:tcPr>
            <w:tcW w:w="510" w:type="dxa"/>
            <w:vAlign w:val="center"/>
          </w:tcPr>
          <w:p w14:paraId="02722815">
            <w:pPr>
              <w:jc w:val="center"/>
              <w:rPr>
                <w:rFonts w:ascii="Times New Roman" w:hAnsi="Times New Roman"/>
                <w:sz w:val="15"/>
                <w:szCs w:val="13"/>
                <w:highlight w:val="none"/>
              </w:rPr>
            </w:pPr>
          </w:p>
        </w:tc>
        <w:tc>
          <w:tcPr>
            <w:tcW w:w="716" w:type="dxa"/>
            <w:vAlign w:val="center"/>
          </w:tcPr>
          <w:p w14:paraId="2F3A810C">
            <w:pPr>
              <w:jc w:val="center"/>
              <w:rPr>
                <w:rFonts w:ascii="Times New Roman" w:hAnsi="Times New Roman"/>
                <w:sz w:val="15"/>
                <w:szCs w:val="13"/>
                <w:highlight w:val="none"/>
              </w:rPr>
            </w:pPr>
          </w:p>
        </w:tc>
        <w:tc>
          <w:tcPr>
            <w:tcW w:w="1080" w:type="dxa"/>
            <w:vAlign w:val="center"/>
          </w:tcPr>
          <w:p w14:paraId="0393228E">
            <w:pPr>
              <w:jc w:val="center"/>
              <w:rPr>
                <w:rFonts w:ascii="Times New Roman" w:hAnsi="Times New Roman"/>
                <w:sz w:val="15"/>
                <w:szCs w:val="13"/>
                <w:highlight w:val="none"/>
              </w:rPr>
            </w:pPr>
          </w:p>
        </w:tc>
        <w:tc>
          <w:tcPr>
            <w:tcW w:w="648" w:type="dxa"/>
            <w:vMerge w:val="continue"/>
            <w:vAlign w:val="center"/>
          </w:tcPr>
          <w:p w14:paraId="77F29DC4">
            <w:pPr>
              <w:jc w:val="center"/>
              <w:rPr>
                <w:rFonts w:ascii="Times New Roman" w:hAnsi="Times New Roman"/>
                <w:sz w:val="15"/>
                <w:szCs w:val="13"/>
                <w:highlight w:val="none"/>
              </w:rPr>
            </w:pPr>
          </w:p>
        </w:tc>
        <w:tc>
          <w:tcPr>
            <w:tcW w:w="876" w:type="dxa"/>
            <w:vMerge w:val="continue"/>
            <w:vAlign w:val="center"/>
          </w:tcPr>
          <w:p w14:paraId="58172E47">
            <w:pPr>
              <w:jc w:val="center"/>
              <w:rPr>
                <w:rFonts w:ascii="Times New Roman" w:hAnsi="Times New Roman"/>
                <w:sz w:val="15"/>
                <w:szCs w:val="13"/>
                <w:highlight w:val="none"/>
              </w:rPr>
            </w:pPr>
          </w:p>
        </w:tc>
        <w:tc>
          <w:tcPr>
            <w:tcW w:w="724" w:type="dxa"/>
            <w:vMerge w:val="continue"/>
            <w:vAlign w:val="center"/>
          </w:tcPr>
          <w:p w14:paraId="6F09F374">
            <w:pPr>
              <w:jc w:val="center"/>
              <w:rPr>
                <w:rFonts w:ascii="Times New Roman" w:hAnsi="Times New Roman"/>
                <w:sz w:val="15"/>
                <w:szCs w:val="13"/>
                <w:highlight w:val="none"/>
              </w:rPr>
            </w:pPr>
          </w:p>
        </w:tc>
        <w:tc>
          <w:tcPr>
            <w:tcW w:w="0" w:type="auto"/>
            <w:vMerge w:val="continue"/>
            <w:vAlign w:val="center"/>
          </w:tcPr>
          <w:p w14:paraId="599F2F7D">
            <w:pPr>
              <w:jc w:val="center"/>
              <w:rPr>
                <w:rFonts w:ascii="Times New Roman" w:hAnsi="Times New Roman"/>
                <w:sz w:val="15"/>
                <w:szCs w:val="13"/>
                <w:highlight w:val="none"/>
              </w:rPr>
            </w:pPr>
          </w:p>
        </w:tc>
      </w:tr>
      <w:tr w14:paraId="48E38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0" w:type="auto"/>
            <w:vAlign w:val="center"/>
          </w:tcPr>
          <w:p w14:paraId="43D339C9">
            <w:pPr>
              <w:jc w:val="center"/>
              <w:rPr>
                <w:rFonts w:ascii="Times New Roman" w:hAnsi="Times New Roman"/>
                <w:sz w:val="15"/>
                <w:szCs w:val="13"/>
                <w:highlight w:val="none"/>
              </w:rPr>
            </w:pPr>
          </w:p>
        </w:tc>
        <w:tc>
          <w:tcPr>
            <w:tcW w:w="0" w:type="auto"/>
            <w:vAlign w:val="center"/>
          </w:tcPr>
          <w:p w14:paraId="16F3B521">
            <w:pPr>
              <w:jc w:val="center"/>
              <w:rPr>
                <w:rFonts w:ascii="Times New Roman" w:hAnsi="Times New Roman"/>
                <w:sz w:val="15"/>
                <w:szCs w:val="13"/>
                <w:highlight w:val="none"/>
              </w:rPr>
            </w:pPr>
          </w:p>
        </w:tc>
        <w:tc>
          <w:tcPr>
            <w:tcW w:w="0" w:type="auto"/>
            <w:vAlign w:val="center"/>
          </w:tcPr>
          <w:p w14:paraId="1237A2A1">
            <w:pPr>
              <w:jc w:val="center"/>
              <w:rPr>
                <w:rFonts w:ascii="Times New Roman" w:hAnsi="Times New Roman"/>
                <w:sz w:val="15"/>
                <w:szCs w:val="13"/>
                <w:highlight w:val="none"/>
              </w:rPr>
            </w:pPr>
          </w:p>
        </w:tc>
        <w:tc>
          <w:tcPr>
            <w:tcW w:w="700" w:type="dxa"/>
            <w:vAlign w:val="center"/>
          </w:tcPr>
          <w:p w14:paraId="655241DA">
            <w:pPr>
              <w:jc w:val="center"/>
              <w:rPr>
                <w:rFonts w:ascii="Times New Roman" w:hAnsi="Times New Roman"/>
                <w:sz w:val="15"/>
                <w:szCs w:val="13"/>
                <w:highlight w:val="none"/>
              </w:rPr>
            </w:pPr>
          </w:p>
        </w:tc>
        <w:tc>
          <w:tcPr>
            <w:tcW w:w="450" w:type="dxa"/>
            <w:vAlign w:val="center"/>
          </w:tcPr>
          <w:p w14:paraId="1C5D474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450" w:type="dxa"/>
            <w:vAlign w:val="center"/>
          </w:tcPr>
          <w:p w14:paraId="13E122C9">
            <w:pPr>
              <w:jc w:val="center"/>
              <w:rPr>
                <w:rFonts w:ascii="Times New Roman" w:hAnsi="Times New Roman"/>
                <w:sz w:val="15"/>
                <w:szCs w:val="13"/>
                <w:highlight w:val="none"/>
              </w:rPr>
            </w:pPr>
          </w:p>
        </w:tc>
        <w:tc>
          <w:tcPr>
            <w:tcW w:w="440" w:type="dxa"/>
            <w:vAlign w:val="center"/>
          </w:tcPr>
          <w:p w14:paraId="43040CAF">
            <w:pPr>
              <w:jc w:val="center"/>
              <w:rPr>
                <w:rFonts w:ascii="Times New Roman" w:hAnsi="Times New Roman"/>
                <w:sz w:val="15"/>
                <w:szCs w:val="13"/>
                <w:highlight w:val="none"/>
              </w:rPr>
            </w:pPr>
          </w:p>
        </w:tc>
        <w:tc>
          <w:tcPr>
            <w:tcW w:w="880" w:type="dxa"/>
            <w:vAlign w:val="center"/>
          </w:tcPr>
          <w:p w14:paraId="338FC80C">
            <w:pPr>
              <w:jc w:val="center"/>
              <w:rPr>
                <w:rFonts w:ascii="Times New Roman" w:hAnsi="Times New Roman"/>
                <w:sz w:val="15"/>
                <w:szCs w:val="13"/>
                <w:highlight w:val="none"/>
              </w:rPr>
            </w:pPr>
          </w:p>
        </w:tc>
        <w:tc>
          <w:tcPr>
            <w:tcW w:w="510" w:type="dxa"/>
            <w:vAlign w:val="center"/>
          </w:tcPr>
          <w:p w14:paraId="050C1F33">
            <w:pPr>
              <w:jc w:val="center"/>
              <w:rPr>
                <w:rFonts w:ascii="Times New Roman" w:hAnsi="Times New Roman"/>
                <w:sz w:val="15"/>
                <w:szCs w:val="13"/>
                <w:highlight w:val="none"/>
              </w:rPr>
            </w:pPr>
          </w:p>
        </w:tc>
        <w:tc>
          <w:tcPr>
            <w:tcW w:w="716" w:type="dxa"/>
            <w:vAlign w:val="center"/>
          </w:tcPr>
          <w:p w14:paraId="74404DBA">
            <w:pPr>
              <w:jc w:val="center"/>
              <w:rPr>
                <w:rFonts w:ascii="Times New Roman" w:hAnsi="Times New Roman"/>
                <w:sz w:val="15"/>
                <w:szCs w:val="13"/>
                <w:highlight w:val="none"/>
              </w:rPr>
            </w:pPr>
          </w:p>
        </w:tc>
        <w:tc>
          <w:tcPr>
            <w:tcW w:w="1080" w:type="dxa"/>
            <w:vAlign w:val="center"/>
          </w:tcPr>
          <w:p w14:paraId="27E33383">
            <w:pPr>
              <w:jc w:val="center"/>
              <w:rPr>
                <w:rFonts w:ascii="Times New Roman" w:hAnsi="Times New Roman"/>
                <w:sz w:val="15"/>
                <w:szCs w:val="13"/>
                <w:highlight w:val="none"/>
              </w:rPr>
            </w:pPr>
          </w:p>
        </w:tc>
        <w:tc>
          <w:tcPr>
            <w:tcW w:w="648" w:type="dxa"/>
            <w:vMerge w:val="restart"/>
            <w:vAlign w:val="center"/>
          </w:tcPr>
          <w:p w14:paraId="1F990005">
            <w:pPr>
              <w:jc w:val="center"/>
              <w:rPr>
                <w:rFonts w:ascii="Times New Roman" w:hAnsi="Times New Roman"/>
                <w:sz w:val="15"/>
                <w:szCs w:val="13"/>
                <w:highlight w:val="none"/>
              </w:rPr>
            </w:pPr>
          </w:p>
        </w:tc>
        <w:tc>
          <w:tcPr>
            <w:tcW w:w="876" w:type="dxa"/>
            <w:vMerge w:val="restart"/>
            <w:vAlign w:val="center"/>
          </w:tcPr>
          <w:p w14:paraId="2D82D5D4">
            <w:pPr>
              <w:jc w:val="center"/>
              <w:rPr>
                <w:rFonts w:ascii="Times New Roman" w:hAnsi="Times New Roman"/>
                <w:sz w:val="15"/>
                <w:szCs w:val="13"/>
                <w:highlight w:val="none"/>
              </w:rPr>
            </w:pPr>
          </w:p>
        </w:tc>
        <w:tc>
          <w:tcPr>
            <w:tcW w:w="724" w:type="dxa"/>
            <w:vMerge w:val="restart"/>
            <w:vAlign w:val="center"/>
          </w:tcPr>
          <w:p w14:paraId="530EDBC6">
            <w:pPr>
              <w:jc w:val="center"/>
              <w:rPr>
                <w:rFonts w:ascii="Times New Roman" w:hAnsi="Times New Roman"/>
                <w:sz w:val="15"/>
                <w:szCs w:val="13"/>
                <w:highlight w:val="none"/>
              </w:rPr>
            </w:pPr>
          </w:p>
        </w:tc>
        <w:tc>
          <w:tcPr>
            <w:tcW w:w="0" w:type="auto"/>
            <w:vMerge w:val="restart"/>
            <w:vAlign w:val="center"/>
          </w:tcPr>
          <w:p w14:paraId="37890143">
            <w:pPr>
              <w:jc w:val="center"/>
              <w:rPr>
                <w:rFonts w:ascii="Times New Roman" w:hAnsi="Times New Roman"/>
                <w:sz w:val="15"/>
                <w:szCs w:val="13"/>
                <w:highlight w:val="none"/>
              </w:rPr>
            </w:pPr>
          </w:p>
        </w:tc>
      </w:tr>
      <w:tr w14:paraId="23348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0" w:type="auto"/>
            <w:vAlign w:val="center"/>
          </w:tcPr>
          <w:p w14:paraId="48E3E11C">
            <w:pPr>
              <w:jc w:val="center"/>
              <w:rPr>
                <w:rFonts w:ascii="Times New Roman" w:hAnsi="Times New Roman"/>
                <w:sz w:val="15"/>
                <w:szCs w:val="13"/>
                <w:highlight w:val="none"/>
              </w:rPr>
            </w:pPr>
          </w:p>
        </w:tc>
        <w:tc>
          <w:tcPr>
            <w:tcW w:w="0" w:type="auto"/>
            <w:vAlign w:val="center"/>
          </w:tcPr>
          <w:p w14:paraId="43E9DD64">
            <w:pPr>
              <w:jc w:val="center"/>
              <w:rPr>
                <w:rFonts w:ascii="Times New Roman" w:hAnsi="Times New Roman"/>
                <w:sz w:val="15"/>
                <w:szCs w:val="13"/>
                <w:highlight w:val="none"/>
              </w:rPr>
            </w:pPr>
          </w:p>
        </w:tc>
        <w:tc>
          <w:tcPr>
            <w:tcW w:w="0" w:type="auto"/>
            <w:vAlign w:val="center"/>
          </w:tcPr>
          <w:p w14:paraId="4813F2AD">
            <w:pPr>
              <w:jc w:val="center"/>
              <w:rPr>
                <w:rFonts w:ascii="Times New Roman" w:hAnsi="Times New Roman"/>
                <w:sz w:val="15"/>
                <w:szCs w:val="13"/>
                <w:highlight w:val="none"/>
              </w:rPr>
            </w:pPr>
          </w:p>
        </w:tc>
        <w:tc>
          <w:tcPr>
            <w:tcW w:w="700" w:type="dxa"/>
            <w:vAlign w:val="center"/>
          </w:tcPr>
          <w:p w14:paraId="6D8BC283">
            <w:pPr>
              <w:jc w:val="center"/>
              <w:rPr>
                <w:rFonts w:ascii="Times New Roman" w:hAnsi="Times New Roman"/>
                <w:sz w:val="15"/>
                <w:szCs w:val="13"/>
                <w:highlight w:val="none"/>
              </w:rPr>
            </w:pPr>
          </w:p>
        </w:tc>
        <w:tc>
          <w:tcPr>
            <w:tcW w:w="450" w:type="dxa"/>
            <w:vAlign w:val="center"/>
          </w:tcPr>
          <w:p w14:paraId="1ABE3805">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450" w:type="dxa"/>
            <w:vAlign w:val="center"/>
          </w:tcPr>
          <w:p w14:paraId="16B3160D">
            <w:pPr>
              <w:jc w:val="center"/>
              <w:rPr>
                <w:rFonts w:ascii="Times New Roman" w:hAnsi="Times New Roman"/>
                <w:sz w:val="15"/>
                <w:szCs w:val="13"/>
                <w:highlight w:val="none"/>
              </w:rPr>
            </w:pPr>
          </w:p>
        </w:tc>
        <w:tc>
          <w:tcPr>
            <w:tcW w:w="440" w:type="dxa"/>
            <w:vAlign w:val="center"/>
          </w:tcPr>
          <w:p w14:paraId="4208EFDD">
            <w:pPr>
              <w:jc w:val="center"/>
              <w:rPr>
                <w:rFonts w:ascii="Times New Roman" w:hAnsi="Times New Roman"/>
                <w:sz w:val="15"/>
                <w:szCs w:val="13"/>
                <w:highlight w:val="none"/>
              </w:rPr>
            </w:pPr>
          </w:p>
        </w:tc>
        <w:tc>
          <w:tcPr>
            <w:tcW w:w="880" w:type="dxa"/>
            <w:vAlign w:val="center"/>
          </w:tcPr>
          <w:p w14:paraId="39B28512">
            <w:pPr>
              <w:jc w:val="center"/>
              <w:rPr>
                <w:rFonts w:ascii="Times New Roman" w:hAnsi="Times New Roman"/>
                <w:sz w:val="15"/>
                <w:szCs w:val="13"/>
                <w:highlight w:val="none"/>
              </w:rPr>
            </w:pPr>
          </w:p>
        </w:tc>
        <w:tc>
          <w:tcPr>
            <w:tcW w:w="510" w:type="dxa"/>
            <w:vAlign w:val="center"/>
          </w:tcPr>
          <w:p w14:paraId="4462D35C">
            <w:pPr>
              <w:jc w:val="center"/>
              <w:rPr>
                <w:rFonts w:ascii="Times New Roman" w:hAnsi="Times New Roman"/>
                <w:sz w:val="15"/>
                <w:szCs w:val="13"/>
                <w:highlight w:val="none"/>
              </w:rPr>
            </w:pPr>
          </w:p>
        </w:tc>
        <w:tc>
          <w:tcPr>
            <w:tcW w:w="716" w:type="dxa"/>
            <w:vAlign w:val="center"/>
          </w:tcPr>
          <w:p w14:paraId="6FFAA8F2">
            <w:pPr>
              <w:jc w:val="center"/>
              <w:rPr>
                <w:rFonts w:ascii="Times New Roman" w:hAnsi="Times New Roman"/>
                <w:sz w:val="15"/>
                <w:szCs w:val="13"/>
                <w:highlight w:val="none"/>
              </w:rPr>
            </w:pPr>
          </w:p>
        </w:tc>
        <w:tc>
          <w:tcPr>
            <w:tcW w:w="1080" w:type="dxa"/>
            <w:vAlign w:val="center"/>
          </w:tcPr>
          <w:p w14:paraId="4F72362A">
            <w:pPr>
              <w:jc w:val="center"/>
              <w:rPr>
                <w:rFonts w:ascii="Times New Roman" w:hAnsi="Times New Roman"/>
                <w:sz w:val="15"/>
                <w:szCs w:val="13"/>
                <w:highlight w:val="none"/>
              </w:rPr>
            </w:pPr>
          </w:p>
        </w:tc>
        <w:tc>
          <w:tcPr>
            <w:tcW w:w="648" w:type="dxa"/>
            <w:vMerge w:val="continue"/>
            <w:vAlign w:val="center"/>
          </w:tcPr>
          <w:p w14:paraId="7007248E">
            <w:pPr>
              <w:jc w:val="center"/>
              <w:rPr>
                <w:rFonts w:ascii="Times New Roman" w:hAnsi="Times New Roman"/>
                <w:sz w:val="15"/>
                <w:szCs w:val="13"/>
                <w:highlight w:val="none"/>
              </w:rPr>
            </w:pPr>
          </w:p>
        </w:tc>
        <w:tc>
          <w:tcPr>
            <w:tcW w:w="876" w:type="dxa"/>
            <w:vMerge w:val="continue"/>
            <w:vAlign w:val="center"/>
          </w:tcPr>
          <w:p w14:paraId="3DA620FE">
            <w:pPr>
              <w:jc w:val="center"/>
              <w:rPr>
                <w:rFonts w:ascii="Times New Roman" w:hAnsi="Times New Roman"/>
                <w:sz w:val="15"/>
                <w:szCs w:val="13"/>
                <w:highlight w:val="none"/>
              </w:rPr>
            </w:pPr>
          </w:p>
        </w:tc>
        <w:tc>
          <w:tcPr>
            <w:tcW w:w="724" w:type="dxa"/>
            <w:vMerge w:val="continue"/>
            <w:vAlign w:val="center"/>
          </w:tcPr>
          <w:p w14:paraId="365A8989">
            <w:pPr>
              <w:jc w:val="center"/>
              <w:rPr>
                <w:rFonts w:ascii="Times New Roman" w:hAnsi="Times New Roman"/>
                <w:sz w:val="15"/>
                <w:szCs w:val="13"/>
                <w:highlight w:val="none"/>
              </w:rPr>
            </w:pPr>
          </w:p>
        </w:tc>
        <w:tc>
          <w:tcPr>
            <w:tcW w:w="0" w:type="auto"/>
            <w:vMerge w:val="continue"/>
            <w:vAlign w:val="center"/>
          </w:tcPr>
          <w:p w14:paraId="56CAB4D3">
            <w:pPr>
              <w:jc w:val="center"/>
              <w:rPr>
                <w:rFonts w:ascii="Times New Roman" w:hAnsi="Times New Roman"/>
                <w:sz w:val="15"/>
                <w:szCs w:val="13"/>
                <w:highlight w:val="none"/>
              </w:rPr>
            </w:pPr>
          </w:p>
        </w:tc>
      </w:tr>
      <w:tr w14:paraId="11983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0" w:type="auto"/>
            <w:vAlign w:val="center"/>
          </w:tcPr>
          <w:p w14:paraId="29AEE087">
            <w:pPr>
              <w:jc w:val="center"/>
              <w:rPr>
                <w:rFonts w:ascii="Times New Roman" w:hAnsi="Times New Roman"/>
                <w:sz w:val="15"/>
                <w:szCs w:val="13"/>
                <w:highlight w:val="none"/>
              </w:rPr>
            </w:pPr>
          </w:p>
        </w:tc>
        <w:tc>
          <w:tcPr>
            <w:tcW w:w="0" w:type="auto"/>
            <w:vAlign w:val="center"/>
          </w:tcPr>
          <w:p w14:paraId="095A1DD7">
            <w:pPr>
              <w:jc w:val="center"/>
              <w:rPr>
                <w:rFonts w:ascii="Times New Roman" w:hAnsi="Times New Roman"/>
                <w:sz w:val="15"/>
                <w:szCs w:val="13"/>
                <w:highlight w:val="none"/>
              </w:rPr>
            </w:pPr>
          </w:p>
        </w:tc>
        <w:tc>
          <w:tcPr>
            <w:tcW w:w="0" w:type="auto"/>
            <w:vAlign w:val="center"/>
          </w:tcPr>
          <w:p w14:paraId="6638CC8C">
            <w:pPr>
              <w:jc w:val="center"/>
              <w:rPr>
                <w:rFonts w:ascii="Times New Roman" w:hAnsi="Times New Roman"/>
                <w:sz w:val="15"/>
                <w:szCs w:val="13"/>
                <w:highlight w:val="none"/>
              </w:rPr>
            </w:pPr>
          </w:p>
        </w:tc>
        <w:tc>
          <w:tcPr>
            <w:tcW w:w="700" w:type="dxa"/>
            <w:vAlign w:val="center"/>
          </w:tcPr>
          <w:p w14:paraId="3BE81793">
            <w:pPr>
              <w:jc w:val="center"/>
              <w:rPr>
                <w:rFonts w:ascii="Times New Roman" w:hAnsi="Times New Roman"/>
                <w:sz w:val="15"/>
                <w:szCs w:val="13"/>
                <w:highlight w:val="none"/>
              </w:rPr>
            </w:pPr>
          </w:p>
        </w:tc>
        <w:tc>
          <w:tcPr>
            <w:tcW w:w="450" w:type="dxa"/>
            <w:vAlign w:val="center"/>
          </w:tcPr>
          <w:p w14:paraId="53C7FAFA">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450" w:type="dxa"/>
            <w:vAlign w:val="center"/>
          </w:tcPr>
          <w:p w14:paraId="47A46003">
            <w:pPr>
              <w:jc w:val="center"/>
              <w:rPr>
                <w:rFonts w:ascii="Times New Roman" w:hAnsi="Times New Roman"/>
                <w:sz w:val="15"/>
                <w:szCs w:val="13"/>
                <w:highlight w:val="none"/>
              </w:rPr>
            </w:pPr>
          </w:p>
        </w:tc>
        <w:tc>
          <w:tcPr>
            <w:tcW w:w="440" w:type="dxa"/>
            <w:vAlign w:val="center"/>
          </w:tcPr>
          <w:p w14:paraId="09DE8785">
            <w:pPr>
              <w:jc w:val="center"/>
              <w:rPr>
                <w:rFonts w:ascii="Times New Roman" w:hAnsi="Times New Roman"/>
                <w:sz w:val="15"/>
                <w:szCs w:val="13"/>
                <w:highlight w:val="none"/>
              </w:rPr>
            </w:pPr>
          </w:p>
        </w:tc>
        <w:tc>
          <w:tcPr>
            <w:tcW w:w="880" w:type="dxa"/>
            <w:vAlign w:val="center"/>
          </w:tcPr>
          <w:p w14:paraId="15124CC8">
            <w:pPr>
              <w:jc w:val="center"/>
              <w:rPr>
                <w:rFonts w:ascii="Times New Roman" w:hAnsi="Times New Roman"/>
                <w:sz w:val="15"/>
                <w:szCs w:val="13"/>
                <w:highlight w:val="none"/>
              </w:rPr>
            </w:pPr>
          </w:p>
        </w:tc>
        <w:tc>
          <w:tcPr>
            <w:tcW w:w="510" w:type="dxa"/>
            <w:vAlign w:val="center"/>
          </w:tcPr>
          <w:p w14:paraId="39BFEE31">
            <w:pPr>
              <w:jc w:val="center"/>
              <w:rPr>
                <w:rFonts w:ascii="Times New Roman" w:hAnsi="Times New Roman"/>
                <w:sz w:val="15"/>
                <w:szCs w:val="13"/>
                <w:highlight w:val="none"/>
              </w:rPr>
            </w:pPr>
          </w:p>
        </w:tc>
        <w:tc>
          <w:tcPr>
            <w:tcW w:w="716" w:type="dxa"/>
            <w:vAlign w:val="center"/>
          </w:tcPr>
          <w:p w14:paraId="32141CD3">
            <w:pPr>
              <w:jc w:val="center"/>
              <w:rPr>
                <w:rFonts w:ascii="Times New Roman" w:hAnsi="Times New Roman"/>
                <w:sz w:val="15"/>
                <w:szCs w:val="13"/>
                <w:highlight w:val="none"/>
              </w:rPr>
            </w:pPr>
          </w:p>
        </w:tc>
        <w:tc>
          <w:tcPr>
            <w:tcW w:w="1080" w:type="dxa"/>
            <w:vAlign w:val="center"/>
          </w:tcPr>
          <w:p w14:paraId="1BD7131E">
            <w:pPr>
              <w:jc w:val="center"/>
              <w:rPr>
                <w:rFonts w:ascii="Times New Roman" w:hAnsi="Times New Roman"/>
                <w:sz w:val="15"/>
                <w:szCs w:val="13"/>
                <w:highlight w:val="none"/>
              </w:rPr>
            </w:pPr>
          </w:p>
        </w:tc>
        <w:tc>
          <w:tcPr>
            <w:tcW w:w="648" w:type="dxa"/>
            <w:vMerge w:val="restart"/>
            <w:vAlign w:val="center"/>
          </w:tcPr>
          <w:p w14:paraId="566B29FE">
            <w:pPr>
              <w:jc w:val="center"/>
              <w:rPr>
                <w:rFonts w:ascii="Times New Roman" w:hAnsi="Times New Roman"/>
                <w:sz w:val="15"/>
                <w:szCs w:val="13"/>
                <w:highlight w:val="none"/>
              </w:rPr>
            </w:pPr>
          </w:p>
        </w:tc>
        <w:tc>
          <w:tcPr>
            <w:tcW w:w="876" w:type="dxa"/>
            <w:vMerge w:val="restart"/>
            <w:vAlign w:val="center"/>
          </w:tcPr>
          <w:p w14:paraId="3048090D">
            <w:pPr>
              <w:jc w:val="center"/>
              <w:rPr>
                <w:rFonts w:ascii="Times New Roman" w:hAnsi="Times New Roman"/>
                <w:sz w:val="15"/>
                <w:szCs w:val="13"/>
                <w:highlight w:val="none"/>
              </w:rPr>
            </w:pPr>
          </w:p>
        </w:tc>
        <w:tc>
          <w:tcPr>
            <w:tcW w:w="724" w:type="dxa"/>
            <w:vMerge w:val="restart"/>
            <w:vAlign w:val="center"/>
          </w:tcPr>
          <w:p w14:paraId="0732B35C">
            <w:pPr>
              <w:jc w:val="center"/>
              <w:rPr>
                <w:rFonts w:ascii="Times New Roman" w:hAnsi="Times New Roman"/>
                <w:sz w:val="15"/>
                <w:szCs w:val="13"/>
                <w:highlight w:val="none"/>
              </w:rPr>
            </w:pPr>
          </w:p>
        </w:tc>
        <w:tc>
          <w:tcPr>
            <w:tcW w:w="0" w:type="auto"/>
            <w:vMerge w:val="restart"/>
            <w:vAlign w:val="center"/>
          </w:tcPr>
          <w:p w14:paraId="19B67429">
            <w:pPr>
              <w:jc w:val="center"/>
              <w:rPr>
                <w:rFonts w:ascii="Times New Roman" w:hAnsi="Times New Roman"/>
                <w:sz w:val="15"/>
                <w:szCs w:val="13"/>
                <w:highlight w:val="none"/>
              </w:rPr>
            </w:pPr>
          </w:p>
        </w:tc>
      </w:tr>
      <w:tr w14:paraId="3F769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0" w:type="auto"/>
            <w:vAlign w:val="center"/>
          </w:tcPr>
          <w:p w14:paraId="1D629766">
            <w:pPr>
              <w:jc w:val="center"/>
              <w:rPr>
                <w:rFonts w:ascii="Times New Roman" w:hAnsi="Times New Roman"/>
                <w:sz w:val="15"/>
                <w:szCs w:val="13"/>
                <w:highlight w:val="none"/>
              </w:rPr>
            </w:pPr>
          </w:p>
        </w:tc>
        <w:tc>
          <w:tcPr>
            <w:tcW w:w="0" w:type="auto"/>
            <w:vAlign w:val="center"/>
          </w:tcPr>
          <w:p w14:paraId="04A53CD9">
            <w:pPr>
              <w:jc w:val="center"/>
              <w:rPr>
                <w:rFonts w:ascii="Times New Roman" w:hAnsi="Times New Roman"/>
                <w:sz w:val="15"/>
                <w:szCs w:val="13"/>
                <w:highlight w:val="none"/>
              </w:rPr>
            </w:pPr>
          </w:p>
        </w:tc>
        <w:tc>
          <w:tcPr>
            <w:tcW w:w="0" w:type="auto"/>
            <w:vAlign w:val="center"/>
          </w:tcPr>
          <w:p w14:paraId="75551507">
            <w:pPr>
              <w:jc w:val="center"/>
              <w:rPr>
                <w:rFonts w:ascii="Times New Roman" w:hAnsi="Times New Roman"/>
                <w:sz w:val="15"/>
                <w:szCs w:val="13"/>
                <w:highlight w:val="none"/>
              </w:rPr>
            </w:pPr>
          </w:p>
        </w:tc>
        <w:tc>
          <w:tcPr>
            <w:tcW w:w="700" w:type="dxa"/>
            <w:vAlign w:val="center"/>
          </w:tcPr>
          <w:p w14:paraId="30C5EE51">
            <w:pPr>
              <w:jc w:val="center"/>
              <w:rPr>
                <w:rFonts w:ascii="Times New Roman" w:hAnsi="Times New Roman"/>
                <w:sz w:val="15"/>
                <w:szCs w:val="13"/>
                <w:highlight w:val="none"/>
              </w:rPr>
            </w:pPr>
          </w:p>
        </w:tc>
        <w:tc>
          <w:tcPr>
            <w:tcW w:w="450" w:type="dxa"/>
            <w:vAlign w:val="center"/>
          </w:tcPr>
          <w:p w14:paraId="10F45B27">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450" w:type="dxa"/>
            <w:vAlign w:val="center"/>
          </w:tcPr>
          <w:p w14:paraId="28EC5B06">
            <w:pPr>
              <w:jc w:val="center"/>
              <w:rPr>
                <w:rFonts w:ascii="Times New Roman" w:hAnsi="Times New Roman"/>
                <w:sz w:val="15"/>
                <w:szCs w:val="13"/>
                <w:highlight w:val="none"/>
              </w:rPr>
            </w:pPr>
          </w:p>
        </w:tc>
        <w:tc>
          <w:tcPr>
            <w:tcW w:w="440" w:type="dxa"/>
            <w:vAlign w:val="center"/>
          </w:tcPr>
          <w:p w14:paraId="798F8075">
            <w:pPr>
              <w:jc w:val="center"/>
              <w:rPr>
                <w:rFonts w:ascii="Times New Roman" w:hAnsi="Times New Roman"/>
                <w:sz w:val="15"/>
                <w:szCs w:val="13"/>
                <w:highlight w:val="none"/>
              </w:rPr>
            </w:pPr>
          </w:p>
        </w:tc>
        <w:tc>
          <w:tcPr>
            <w:tcW w:w="880" w:type="dxa"/>
            <w:vAlign w:val="center"/>
          </w:tcPr>
          <w:p w14:paraId="71D4F189">
            <w:pPr>
              <w:jc w:val="center"/>
              <w:rPr>
                <w:rFonts w:ascii="Times New Roman" w:hAnsi="Times New Roman"/>
                <w:sz w:val="15"/>
                <w:szCs w:val="13"/>
                <w:highlight w:val="none"/>
              </w:rPr>
            </w:pPr>
          </w:p>
        </w:tc>
        <w:tc>
          <w:tcPr>
            <w:tcW w:w="510" w:type="dxa"/>
            <w:vAlign w:val="center"/>
          </w:tcPr>
          <w:p w14:paraId="63611BA5">
            <w:pPr>
              <w:jc w:val="center"/>
              <w:rPr>
                <w:rFonts w:ascii="Times New Roman" w:hAnsi="Times New Roman"/>
                <w:sz w:val="15"/>
                <w:szCs w:val="13"/>
                <w:highlight w:val="none"/>
              </w:rPr>
            </w:pPr>
          </w:p>
        </w:tc>
        <w:tc>
          <w:tcPr>
            <w:tcW w:w="716" w:type="dxa"/>
            <w:vAlign w:val="center"/>
          </w:tcPr>
          <w:p w14:paraId="5C34CE7F">
            <w:pPr>
              <w:jc w:val="center"/>
              <w:rPr>
                <w:rFonts w:ascii="Times New Roman" w:hAnsi="Times New Roman"/>
                <w:sz w:val="15"/>
                <w:szCs w:val="13"/>
                <w:highlight w:val="none"/>
              </w:rPr>
            </w:pPr>
          </w:p>
        </w:tc>
        <w:tc>
          <w:tcPr>
            <w:tcW w:w="1080" w:type="dxa"/>
            <w:vAlign w:val="center"/>
          </w:tcPr>
          <w:p w14:paraId="0DA9D953">
            <w:pPr>
              <w:jc w:val="center"/>
              <w:rPr>
                <w:rFonts w:ascii="Times New Roman" w:hAnsi="Times New Roman"/>
                <w:sz w:val="15"/>
                <w:szCs w:val="13"/>
                <w:highlight w:val="none"/>
              </w:rPr>
            </w:pPr>
          </w:p>
        </w:tc>
        <w:tc>
          <w:tcPr>
            <w:tcW w:w="648" w:type="dxa"/>
            <w:vMerge w:val="continue"/>
            <w:vAlign w:val="center"/>
          </w:tcPr>
          <w:p w14:paraId="5B6B99D9">
            <w:pPr>
              <w:jc w:val="center"/>
              <w:rPr>
                <w:rFonts w:ascii="Times New Roman" w:hAnsi="Times New Roman"/>
                <w:sz w:val="15"/>
                <w:szCs w:val="13"/>
                <w:highlight w:val="none"/>
              </w:rPr>
            </w:pPr>
          </w:p>
        </w:tc>
        <w:tc>
          <w:tcPr>
            <w:tcW w:w="876" w:type="dxa"/>
            <w:vMerge w:val="continue"/>
            <w:vAlign w:val="center"/>
          </w:tcPr>
          <w:p w14:paraId="224C4468">
            <w:pPr>
              <w:jc w:val="center"/>
              <w:rPr>
                <w:rFonts w:ascii="Times New Roman" w:hAnsi="Times New Roman"/>
                <w:sz w:val="15"/>
                <w:szCs w:val="13"/>
                <w:highlight w:val="none"/>
              </w:rPr>
            </w:pPr>
          </w:p>
        </w:tc>
        <w:tc>
          <w:tcPr>
            <w:tcW w:w="724" w:type="dxa"/>
            <w:vMerge w:val="continue"/>
            <w:vAlign w:val="center"/>
          </w:tcPr>
          <w:p w14:paraId="7033E6E1">
            <w:pPr>
              <w:jc w:val="center"/>
              <w:rPr>
                <w:rFonts w:ascii="Times New Roman" w:hAnsi="Times New Roman"/>
                <w:sz w:val="15"/>
                <w:szCs w:val="13"/>
                <w:highlight w:val="none"/>
              </w:rPr>
            </w:pPr>
          </w:p>
        </w:tc>
        <w:tc>
          <w:tcPr>
            <w:tcW w:w="0" w:type="auto"/>
            <w:vMerge w:val="continue"/>
            <w:vAlign w:val="center"/>
          </w:tcPr>
          <w:p w14:paraId="168CA64B">
            <w:pPr>
              <w:jc w:val="center"/>
              <w:rPr>
                <w:rFonts w:ascii="Times New Roman" w:hAnsi="Times New Roman"/>
                <w:sz w:val="15"/>
                <w:szCs w:val="13"/>
                <w:highlight w:val="none"/>
              </w:rPr>
            </w:pPr>
          </w:p>
        </w:tc>
      </w:tr>
      <w:tr w14:paraId="365D3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0" w:type="auto"/>
            <w:vAlign w:val="center"/>
          </w:tcPr>
          <w:p w14:paraId="6728DD08">
            <w:pPr>
              <w:jc w:val="center"/>
              <w:rPr>
                <w:rFonts w:ascii="Times New Roman" w:hAnsi="Times New Roman"/>
                <w:sz w:val="15"/>
                <w:szCs w:val="13"/>
                <w:highlight w:val="none"/>
              </w:rPr>
            </w:pPr>
          </w:p>
        </w:tc>
        <w:tc>
          <w:tcPr>
            <w:tcW w:w="0" w:type="auto"/>
            <w:vAlign w:val="center"/>
          </w:tcPr>
          <w:p w14:paraId="2F1528D3">
            <w:pPr>
              <w:jc w:val="center"/>
              <w:rPr>
                <w:rFonts w:ascii="Times New Roman" w:hAnsi="Times New Roman"/>
                <w:sz w:val="15"/>
                <w:szCs w:val="13"/>
                <w:highlight w:val="none"/>
              </w:rPr>
            </w:pPr>
          </w:p>
        </w:tc>
        <w:tc>
          <w:tcPr>
            <w:tcW w:w="0" w:type="auto"/>
            <w:vAlign w:val="center"/>
          </w:tcPr>
          <w:p w14:paraId="6869907A">
            <w:pPr>
              <w:jc w:val="center"/>
              <w:rPr>
                <w:rFonts w:ascii="Times New Roman" w:hAnsi="Times New Roman"/>
                <w:sz w:val="15"/>
                <w:szCs w:val="13"/>
                <w:highlight w:val="none"/>
              </w:rPr>
            </w:pPr>
          </w:p>
        </w:tc>
        <w:tc>
          <w:tcPr>
            <w:tcW w:w="700" w:type="dxa"/>
            <w:vAlign w:val="center"/>
          </w:tcPr>
          <w:p w14:paraId="78234924">
            <w:pPr>
              <w:jc w:val="center"/>
              <w:rPr>
                <w:rFonts w:ascii="Times New Roman" w:hAnsi="Times New Roman"/>
                <w:sz w:val="15"/>
                <w:szCs w:val="13"/>
                <w:highlight w:val="none"/>
              </w:rPr>
            </w:pPr>
          </w:p>
        </w:tc>
        <w:tc>
          <w:tcPr>
            <w:tcW w:w="450" w:type="dxa"/>
            <w:vAlign w:val="center"/>
          </w:tcPr>
          <w:p w14:paraId="121211EF">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450" w:type="dxa"/>
            <w:vAlign w:val="center"/>
          </w:tcPr>
          <w:p w14:paraId="25F3A2D1">
            <w:pPr>
              <w:jc w:val="center"/>
              <w:rPr>
                <w:rFonts w:ascii="Times New Roman" w:hAnsi="Times New Roman"/>
                <w:sz w:val="15"/>
                <w:szCs w:val="13"/>
                <w:highlight w:val="none"/>
              </w:rPr>
            </w:pPr>
          </w:p>
        </w:tc>
        <w:tc>
          <w:tcPr>
            <w:tcW w:w="440" w:type="dxa"/>
            <w:vAlign w:val="center"/>
          </w:tcPr>
          <w:p w14:paraId="7A50E1A4">
            <w:pPr>
              <w:jc w:val="center"/>
              <w:rPr>
                <w:rFonts w:ascii="Times New Roman" w:hAnsi="Times New Roman"/>
                <w:sz w:val="15"/>
                <w:szCs w:val="13"/>
                <w:highlight w:val="none"/>
              </w:rPr>
            </w:pPr>
          </w:p>
        </w:tc>
        <w:tc>
          <w:tcPr>
            <w:tcW w:w="880" w:type="dxa"/>
            <w:vAlign w:val="center"/>
          </w:tcPr>
          <w:p w14:paraId="20FBD164">
            <w:pPr>
              <w:jc w:val="center"/>
              <w:rPr>
                <w:rFonts w:ascii="Times New Roman" w:hAnsi="Times New Roman"/>
                <w:sz w:val="15"/>
                <w:szCs w:val="13"/>
                <w:highlight w:val="none"/>
              </w:rPr>
            </w:pPr>
          </w:p>
        </w:tc>
        <w:tc>
          <w:tcPr>
            <w:tcW w:w="510" w:type="dxa"/>
            <w:vAlign w:val="center"/>
          </w:tcPr>
          <w:p w14:paraId="5374D4B0">
            <w:pPr>
              <w:jc w:val="center"/>
              <w:rPr>
                <w:rFonts w:ascii="Times New Roman" w:hAnsi="Times New Roman"/>
                <w:sz w:val="15"/>
                <w:szCs w:val="13"/>
                <w:highlight w:val="none"/>
              </w:rPr>
            </w:pPr>
          </w:p>
        </w:tc>
        <w:tc>
          <w:tcPr>
            <w:tcW w:w="716" w:type="dxa"/>
            <w:vAlign w:val="center"/>
          </w:tcPr>
          <w:p w14:paraId="3DD2941B">
            <w:pPr>
              <w:jc w:val="center"/>
              <w:rPr>
                <w:rFonts w:ascii="Times New Roman" w:hAnsi="Times New Roman"/>
                <w:sz w:val="15"/>
                <w:szCs w:val="13"/>
                <w:highlight w:val="none"/>
              </w:rPr>
            </w:pPr>
          </w:p>
        </w:tc>
        <w:tc>
          <w:tcPr>
            <w:tcW w:w="1080" w:type="dxa"/>
            <w:vAlign w:val="center"/>
          </w:tcPr>
          <w:p w14:paraId="0222F976">
            <w:pPr>
              <w:jc w:val="center"/>
              <w:rPr>
                <w:rFonts w:ascii="Times New Roman" w:hAnsi="Times New Roman"/>
                <w:sz w:val="15"/>
                <w:szCs w:val="13"/>
                <w:highlight w:val="none"/>
              </w:rPr>
            </w:pPr>
          </w:p>
        </w:tc>
        <w:tc>
          <w:tcPr>
            <w:tcW w:w="648" w:type="dxa"/>
            <w:vMerge w:val="restart"/>
            <w:vAlign w:val="center"/>
          </w:tcPr>
          <w:p w14:paraId="2A23D9AE">
            <w:pPr>
              <w:jc w:val="center"/>
              <w:rPr>
                <w:rFonts w:ascii="Times New Roman" w:hAnsi="Times New Roman"/>
                <w:sz w:val="15"/>
                <w:szCs w:val="13"/>
                <w:highlight w:val="none"/>
              </w:rPr>
            </w:pPr>
          </w:p>
        </w:tc>
        <w:tc>
          <w:tcPr>
            <w:tcW w:w="876" w:type="dxa"/>
            <w:vMerge w:val="restart"/>
            <w:vAlign w:val="center"/>
          </w:tcPr>
          <w:p w14:paraId="224E857C">
            <w:pPr>
              <w:jc w:val="center"/>
              <w:rPr>
                <w:rFonts w:ascii="Times New Roman" w:hAnsi="Times New Roman"/>
                <w:sz w:val="15"/>
                <w:szCs w:val="13"/>
                <w:highlight w:val="none"/>
              </w:rPr>
            </w:pPr>
          </w:p>
        </w:tc>
        <w:tc>
          <w:tcPr>
            <w:tcW w:w="724" w:type="dxa"/>
            <w:vMerge w:val="restart"/>
            <w:vAlign w:val="center"/>
          </w:tcPr>
          <w:p w14:paraId="0F44B04E">
            <w:pPr>
              <w:jc w:val="center"/>
              <w:rPr>
                <w:rFonts w:ascii="Times New Roman" w:hAnsi="Times New Roman"/>
                <w:sz w:val="15"/>
                <w:szCs w:val="13"/>
                <w:highlight w:val="none"/>
              </w:rPr>
            </w:pPr>
          </w:p>
        </w:tc>
        <w:tc>
          <w:tcPr>
            <w:tcW w:w="0" w:type="auto"/>
            <w:vMerge w:val="restart"/>
            <w:vAlign w:val="center"/>
          </w:tcPr>
          <w:p w14:paraId="6409B0F3">
            <w:pPr>
              <w:jc w:val="center"/>
              <w:rPr>
                <w:rFonts w:ascii="Times New Roman" w:hAnsi="Times New Roman"/>
                <w:sz w:val="15"/>
                <w:szCs w:val="13"/>
                <w:highlight w:val="none"/>
              </w:rPr>
            </w:pPr>
          </w:p>
        </w:tc>
      </w:tr>
      <w:tr w14:paraId="57843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14:paraId="367CD135">
            <w:pPr>
              <w:jc w:val="center"/>
              <w:rPr>
                <w:rFonts w:ascii="Times New Roman" w:hAnsi="Times New Roman"/>
                <w:sz w:val="15"/>
                <w:szCs w:val="13"/>
                <w:highlight w:val="none"/>
              </w:rPr>
            </w:pPr>
          </w:p>
        </w:tc>
        <w:tc>
          <w:tcPr>
            <w:tcW w:w="0" w:type="auto"/>
            <w:vAlign w:val="center"/>
          </w:tcPr>
          <w:p w14:paraId="14D281EC">
            <w:pPr>
              <w:jc w:val="center"/>
              <w:rPr>
                <w:rFonts w:ascii="Times New Roman" w:hAnsi="Times New Roman"/>
                <w:sz w:val="15"/>
                <w:szCs w:val="13"/>
                <w:highlight w:val="none"/>
              </w:rPr>
            </w:pPr>
          </w:p>
        </w:tc>
        <w:tc>
          <w:tcPr>
            <w:tcW w:w="0" w:type="auto"/>
            <w:vAlign w:val="center"/>
          </w:tcPr>
          <w:p w14:paraId="784CA121">
            <w:pPr>
              <w:jc w:val="center"/>
              <w:rPr>
                <w:rFonts w:ascii="Times New Roman" w:hAnsi="Times New Roman"/>
                <w:sz w:val="15"/>
                <w:szCs w:val="13"/>
                <w:highlight w:val="none"/>
              </w:rPr>
            </w:pPr>
          </w:p>
        </w:tc>
        <w:tc>
          <w:tcPr>
            <w:tcW w:w="700" w:type="dxa"/>
            <w:vAlign w:val="center"/>
          </w:tcPr>
          <w:p w14:paraId="418E62FC">
            <w:pPr>
              <w:jc w:val="center"/>
              <w:rPr>
                <w:rFonts w:ascii="Times New Roman" w:hAnsi="Times New Roman"/>
                <w:sz w:val="15"/>
                <w:szCs w:val="13"/>
                <w:highlight w:val="none"/>
              </w:rPr>
            </w:pPr>
          </w:p>
        </w:tc>
        <w:tc>
          <w:tcPr>
            <w:tcW w:w="450" w:type="dxa"/>
            <w:vAlign w:val="center"/>
          </w:tcPr>
          <w:p w14:paraId="135BD4FA">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450" w:type="dxa"/>
            <w:vAlign w:val="center"/>
          </w:tcPr>
          <w:p w14:paraId="2F81CCE0">
            <w:pPr>
              <w:jc w:val="center"/>
              <w:rPr>
                <w:rFonts w:ascii="Times New Roman" w:hAnsi="Times New Roman"/>
                <w:sz w:val="15"/>
                <w:szCs w:val="13"/>
                <w:highlight w:val="none"/>
              </w:rPr>
            </w:pPr>
          </w:p>
        </w:tc>
        <w:tc>
          <w:tcPr>
            <w:tcW w:w="440" w:type="dxa"/>
            <w:vAlign w:val="center"/>
          </w:tcPr>
          <w:p w14:paraId="3308C926">
            <w:pPr>
              <w:jc w:val="center"/>
              <w:rPr>
                <w:rFonts w:ascii="Times New Roman" w:hAnsi="Times New Roman"/>
                <w:sz w:val="15"/>
                <w:szCs w:val="13"/>
                <w:highlight w:val="none"/>
              </w:rPr>
            </w:pPr>
          </w:p>
        </w:tc>
        <w:tc>
          <w:tcPr>
            <w:tcW w:w="880" w:type="dxa"/>
            <w:vAlign w:val="center"/>
          </w:tcPr>
          <w:p w14:paraId="780A7801">
            <w:pPr>
              <w:jc w:val="center"/>
              <w:rPr>
                <w:rFonts w:ascii="Times New Roman" w:hAnsi="Times New Roman"/>
                <w:sz w:val="15"/>
                <w:szCs w:val="13"/>
                <w:highlight w:val="none"/>
              </w:rPr>
            </w:pPr>
          </w:p>
        </w:tc>
        <w:tc>
          <w:tcPr>
            <w:tcW w:w="510" w:type="dxa"/>
            <w:vAlign w:val="center"/>
          </w:tcPr>
          <w:p w14:paraId="5099A5DA">
            <w:pPr>
              <w:jc w:val="center"/>
              <w:rPr>
                <w:rFonts w:ascii="Times New Roman" w:hAnsi="Times New Roman"/>
                <w:sz w:val="15"/>
                <w:szCs w:val="13"/>
                <w:highlight w:val="none"/>
              </w:rPr>
            </w:pPr>
          </w:p>
        </w:tc>
        <w:tc>
          <w:tcPr>
            <w:tcW w:w="716" w:type="dxa"/>
            <w:vAlign w:val="center"/>
          </w:tcPr>
          <w:p w14:paraId="1D039AEF">
            <w:pPr>
              <w:jc w:val="center"/>
              <w:rPr>
                <w:rFonts w:ascii="Times New Roman" w:hAnsi="Times New Roman"/>
                <w:sz w:val="15"/>
                <w:szCs w:val="13"/>
                <w:highlight w:val="none"/>
              </w:rPr>
            </w:pPr>
          </w:p>
        </w:tc>
        <w:tc>
          <w:tcPr>
            <w:tcW w:w="1080" w:type="dxa"/>
            <w:vAlign w:val="center"/>
          </w:tcPr>
          <w:p w14:paraId="498FF51E">
            <w:pPr>
              <w:jc w:val="center"/>
              <w:rPr>
                <w:rFonts w:ascii="Times New Roman" w:hAnsi="Times New Roman"/>
                <w:sz w:val="15"/>
                <w:szCs w:val="13"/>
                <w:highlight w:val="none"/>
              </w:rPr>
            </w:pPr>
          </w:p>
        </w:tc>
        <w:tc>
          <w:tcPr>
            <w:tcW w:w="648" w:type="dxa"/>
            <w:vMerge w:val="continue"/>
            <w:vAlign w:val="center"/>
          </w:tcPr>
          <w:p w14:paraId="4B54BA35">
            <w:pPr>
              <w:jc w:val="center"/>
              <w:rPr>
                <w:rFonts w:ascii="Times New Roman" w:hAnsi="Times New Roman"/>
                <w:sz w:val="15"/>
                <w:szCs w:val="13"/>
                <w:highlight w:val="none"/>
              </w:rPr>
            </w:pPr>
          </w:p>
        </w:tc>
        <w:tc>
          <w:tcPr>
            <w:tcW w:w="876" w:type="dxa"/>
            <w:vMerge w:val="continue"/>
            <w:vAlign w:val="center"/>
          </w:tcPr>
          <w:p w14:paraId="1992DA0C">
            <w:pPr>
              <w:jc w:val="center"/>
              <w:rPr>
                <w:rFonts w:ascii="Times New Roman" w:hAnsi="Times New Roman"/>
                <w:sz w:val="15"/>
                <w:szCs w:val="13"/>
                <w:highlight w:val="none"/>
              </w:rPr>
            </w:pPr>
          </w:p>
        </w:tc>
        <w:tc>
          <w:tcPr>
            <w:tcW w:w="724" w:type="dxa"/>
            <w:vMerge w:val="continue"/>
            <w:vAlign w:val="center"/>
          </w:tcPr>
          <w:p w14:paraId="72072E36">
            <w:pPr>
              <w:jc w:val="center"/>
              <w:rPr>
                <w:rFonts w:ascii="Times New Roman" w:hAnsi="Times New Roman"/>
                <w:sz w:val="15"/>
                <w:szCs w:val="13"/>
                <w:highlight w:val="none"/>
              </w:rPr>
            </w:pPr>
          </w:p>
        </w:tc>
        <w:tc>
          <w:tcPr>
            <w:tcW w:w="0" w:type="auto"/>
            <w:vMerge w:val="continue"/>
            <w:vAlign w:val="center"/>
          </w:tcPr>
          <w:p w14:paraId="327BAD2B">
            <w:pPr>
              <w:jc w:val="center"/>
              <w:rPr>
                <w:rFonts w:ascii="Times New Roman" w:hAnsi="Times New Roman"/>
                <w:sz w:val="15"/>
                <w:szCs w:val="13"/>
                <w:highlight w:val="none"/>
              </w:rPr>
            </w:pPr>
          </w:p>
        </w:tc>
      </w:tr>
      <w:tr w14:paraId="129A1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14:paraId="7F18B80E">
            <w:pPr>
              <w:jc w:val="center"/>
              <w:rPr>
                <w:rFonts w:ascii="Times New Roman" w:hAnsi="Times New Roman"/>
                <w:sz w:val="15"/>
                <w:szCs w:val="13"/>
                <w:highlight w:val="none"/>
              </w:rPr>
            </w:pPr>
          </w:p>
        </w:tc>
        <w:tc>
          <w:tcPr>
            <w:tcW w:w="0" w:type="auto"/>
            <w:vAlign w:val="center"/>
          </w:tcPr>
          <w:p w14:paraId="6AFDB958">
            <w:pPr>
              <w:jc w:val="center"/>
              <w:rPr>
                <w:rFonts w:ascii="Times New Roman" w:hAnsi="Times New Roman"/>
                <w:sz w:val="15"/>
                <w:szCs w:val="13"/>
                <w:highlight w:val="none"/>
              </w:rPr>
            </w:pPr>
          </w:p>
        </w:tc>
        <w:tc>
          <w:tcPr>
            <w:tcW w:w="0" w:type="auto"/>
            <w:vAlign w:val="center"/>
          </w:tcPr>
          <w:p w14:paraId="099A8911">
            <w:pPr>
              <w:jc w:val="center"/>
              <w:rPr>
                <w:rFonts w:ascii="Times New Roman" w:hAnsi="Times New Roman"/>
                <w:sz w:val="15"/>
                <w:szCs w:val="13"/>
                <w:highlight w:val="none"/>
              </w:rPr>
            </w:pPr>
          </w:p>
        </w:tc>
        <w:tc>
          <w:tcPr>
            <w:tcW w:w="700" w:type="dxa"/>
            <w:vAlign w:val="center"/>
          </w:tcPr>
          <w:p w14:paraId="3D3E9292">
            <w:pPr>
              <w:jc w:val="center"/>
              <w:rPr>
                <w:rFonts w:ascii="Times New Roman" w:hAnsi="Times New Roman"/>
                <w:sz w:val="15"/>
                <w:szCs w:val="13"/>
                <w:highlight w:val="none"/>
              </w:rPr>
            </w:pPr>
          </w:p>
        </w:tc>
        <w:tc>
          <w:tcPr>
            <w:tcW w:w="450" w:type="dxa"/>
            <w:vAlign w:val="center"/>
          </w:tcPr>
          <w:p w14:paraId="00F5A203">
            <w:pPr>
              <w:spacing w:line="200" w:lineRule="exact"/>
              <w:ind w:left="-63" w:leftChars="-30" w:right="-63" w:rightChars="-30"/>
              <w:jc w:val="center"/>
              <w:rPr>
                <w:rFonts w:hint="default" w:ascii="Times New Roman" w:hAnsi="Times New Roman" w:cs="Times New Roman" w:eastAsiaTheme="minorEastAsia"/>
                <w:kern w:val="2"/>
                <w:sz w:val="15"/>
                <w:szCs w:val="15"/>
                <w:highlight w:val="none"/>
                <w:lang w:val="en-US" w:eastAsia="zh-CN" w:bidi="ar-SA"/>
              </w:rPr>
            </w:pPr>
            <w:r>
              <w:rPr>
                <w:rFonts w:hint="default" w:ascii="Times New Roman" w:hAnsi="Times New Roman" w:cs="Times New Roman" w:eastAsiaTheme="minorEastAsia"/>
                <w:sz w:val="15"/>
                <w:szCs w:val="15"/>
                <w:highlight w:val="none"/>
              </w:rPr>
              <w:t>下沉</w:t>
            </w:r>
          </w:p>
        </w:tc>
        <w:tc>
          <w:tcPr>
            <w:tcW w:w="450" w:type="dxa"/>
            <w:vAlign w:val="center"/>
          </w:tcPr>
          <w:p w14:paraId="787CE69C">
            <w:pPr>
              <w:jc w:val="center"/>
              <w:rPr>
                <w:rFonts w:ascii="Times New Roman" w:hAnsi="Times New Roman"/>
                <w:sz w:val="15"/>
                <w:szCs w:val="13"/>
                <w:highlight w:val="none"/>
              </w:rPr>
            </w:pPr>
          </w:p>
        </w:tc>
        <w:tc>
          <w:tcPr>
            <w:tcW w:w="440" w:type="dxa"/>
            <w:vAlign w:val="center"/>
          </w:tcPr>
          <w:p w14:paraId="02EA3916">
            <w:pPr>
              <w:jc w:val="center"/>
              <w:rPr>
                <w:rFonts w:ascii="Times New Roman" w:hAnsi="Times New Roman"/>
                <w:sz w:val="15"/>
                <w:szCs w:val="13"/>
                <w:highlight w:val="none"/>
              </w:rPr>
            </w:pPr>
          </w:p>
        </w:tc>
        <w:tc>
          <w:tcPr>
            <w:tcW w:w="880" w:type="dxa"/>
            <w:vAlign w:val="center"/>
          </w:tcPr>
          <w:p w14:paraId="7586B2C6">
            <w:pPr>
              <w:jc w:val="center"/>
              <w:rPr>
                <w:rFonts w:ascii="Times New Roman" w:hAnsi="Times New Roman"/>
                <w:sz w:val="15"/>
                <w:szCs w:val="13"/>
                <w:highlight w:val="none"/>
              </w:rPr>
            </w:pPr>
          </w:p>
        </w:tc>
        <w:tc>
          <w:tcPr>
            <w:tcW w:w="510" w:type="dxa"/>
            <w:vAlign w:val="center"/>
          </w:tcPr>
          <w:p w14:paraId="7E2FA071">
            <w:pPr>
              <w:jc w:val="center"/>
              <w:rPr>
                <w:rFonts w:ascii="Times New Roman" w:hAnsi="Times New Roman"/>
                <w:sz w:val="15"/>
                <w:szCs w:val="13"/>
                <w:highlight w:val="none"/>
              </w:rPr>
            </w:pPr>
          </w:p>
        </w:tc>
        <w:tc>
          <w:tcPr>
            <w:tcW w:w="716" w:type="dxa"/>
            <w:vAlign w:val="center"/>
          </w:tcPr>
          <w:p w14:paraId="5476E513">
            <w:pPr>
              <w:jc w:val="center"/>
              <w:rPr>
                <w:rFonts w:ascii="Times New Roman" w:hAnsi="Times New Roman"/>
                <w:sz w:val="15"/>
                <w:szCs w:val="13"/>
                <w:highlight w:val="none"/>
              </w:rPr>
            </w:pPr>
          </w:p>
        </w:tc>
        <w:tc>
          <w:tcPr>
            <w:tcW w:w="1080" w:type="dxa"/>
            <w:vAlign w:val="center"/>
          </w:tcPr>
          <w:p w14:paraId="0FD0C12B">
            <w:pPr>
              <w:jc w:val="center"/>
              <w:rPr>
                <w:rFonts w:ascii="Times New Roman" w:hAnsi="Times New Roman"/>
                <w:sz w:val="15"/>
                <w:szCs w:val="13"/>
                <w:highlight w:val="none"/>
              </w:rPr>
            </w:pPr>
          </w:p>
        </w:tc>
        <w:tc>
          <w:tcPr>
            <w:tcW w:w="648" w:type="dxa"/>
            <w:vMerge w:val="restart"/>
            <w:vAlign w:val="center"/>
          </w:tcPr>
          <w:p w14:paraId="26878C64">
            <w:pPr>
              <w:jc w:val="center"/>
              <w:rPr>
                <w:rFonts w:ascii="Times New Roman" w:hAnsi="Times New Roman"/>
                <w:sz w:val="15"/>
                <w:szCs w:val="13"/>
                <w:highlight w:val="none"/>
              </w:rPr>
            </w:pPr>
          </w:p>
        </w:tc>
        <w:tc>
          <w:tcPr>
            <w:tcW w:w="876" w:type="dxa"/>
            <w:vMerge w:val="restart"/>
            <w:vAlign w:val="center"/>
          </w:tcPr>
          <w:p w14:paraId="4AD1B967">
            <w:pPr>
              <w:jc w:val="center"/>
              <w:rPr>
                <w:rFonts w:ascii="Times New Roman" w:hAnsi="Times New Roman"/>
                <w:sz w:val="15"/>
                <w:szCs w:val="13"/>
                <w:highlight w:val="none"/>
              </w:rPr>
            </w:pPr>
          </w:p>
        </w:tc>
        <w:tc>
          <w:tcPr>
            <w:tcW w:w="724" w:type="dxa"/>
            <w:vMerge w:val="restart"/>
            <w:vAlign w:val="center"/>
          </w:tcPr>
          <w:p w14:paraId="2FDE1C92">
            <w:pPr>
              <w:jc w:val="center"/>
              <w:rPr>
                <w:rFonts w:ascii="Times New Roman" w:hAnsi="Times New Roman"/>
                <w:sz w:val="15"/>
                <w:szCs w:val="13"/>
                <w:highlight w:val="none"/>
              </w:rPr>
            </w:pPr>
          </w:p>
        </w:tc>
        <w:tc>
          <w:tcPr>
            <w:tcW w:w="390" w:type="dxa"/>
            <w:vMerge w:val="restart"/>
            <w:vAlign w:val="center"/>
          </w:tcPr>
          <w:p w14:paraId="647A74BF">
            <w:pPr>
              <w:jc w:val="center"/>
              <w:rPr>
                <w:rFonts w:ascii="Times New Roman" w:hAnsi="Times New Roman"/>
                <w:sz w:val="15"/>
                <w:szCs w:val="13"/>
                <w:highlight w:val="none"/>
              </w:rPr>
            </w:pPr>
          </w:p>
        </w:tc>
      </w:tr>
      <w:tr w14:paraId="600A1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14:paraId="19C527F6">
            <w:pPr>
              <w:jc w:val="center"/>
              <w:rPr>
                <w:rFonts w:ascii="Times New Roman" w:hAnsi="Times New Roman"/>
                <w:sz w:val="15"/>
                <w:szCs w:val="13"/>
                <w:highlight w:val="none"/>
              </w:rPr>
            </w:pPr>
          </w:p>
        </w:tc>
        <w:tc>
          <w:tcPr>
            <w:tcW w:w="0" w:type="auto"/>
            <w:vAlign w:val="center"/>
          </w:tcPr>
          <w:p w14:paraId="268320EA">
            <w:pPr>
              <w:jc w:val="center"/>
              <w:rPr>
                <w:rFonts w:ascii="Times New Roman" w:hAnsi="Times New Roman"/>
                <w:sz w:val="15"/>
                <w:szCs w:val="13"/>
                <w:highlight w:val="none"/>
              </w:rPr>
            </w:pPr>
          </w:p>
        </w:tc>
        <w:tc>
          <w:tcPr>
            <w:tcW w:w="0" w:type="auto"/>
            <w:vAlign w:val="center"/>
          </w:tcPr>
          <w:p w14:paraId="15EB400F">
            <w:pPr>
              <w:jc w:val="center"/>
              <w:rPr>
                <w:rFonts w:ascii="Times New Roman" w:hAnsi="Times New Roman"/>
                <w:sz w:val="15"/>
                <w:szCs w:val="13"/>
                <w:highlight w:val="none"/>
              </w:rPr>
            </w:pPr>
          </w:p>
        </w:tc>
        <w:tc>
          <w:tcPr>
            <w:tcW w:w="700" w:type="dxa"/>
            <w:vAlign w:val="center"/>
          </w:tcPr>
          <w:p w14:paraId="7CBDB7FA">
            <w:pPr>
              <w:jc w:val="center"/>
              <w:rPr>
                <w:rFonts w:ascii="Times New Roman" w:hAnsi="Times New Roman"/>
                <w:sz w:val="15"/>
                <w:szCs w:val="13"/>
                <w:highlight w:val="none"/>
              </w:rPr>
            </w:pPr>
          </w:p>
        </w:tc>
        <w:tc>
          <w:tcPr>
            <w:tcW w:w="450" w:type="dxa"/>
            <w:vAlign w:val="center"/>
          </w:tcPr>
          <w:p w14:paraId="22F06607">
            <w:pPr>
              <w:spacing w:line="200" w:lineRule="exact"/>
              <w:ind w:left="-63" w:leftChars="-30" w:right="-63" w:rightChars="-30"/>
              <w:jc w:val="center"/>
              <w:rPr>
                <w:rFonts w:hint="default" w:ascii="Times New Roman" w:hAnsi="Times New Roman" w:cs="Times New Roman" w:eastAsiaTheme="minorEastAsia"/>
                <w:kern w:val="2"/>
                <w:sz w:val="15"/>
                <w:szCs w:val="15"/>
                <w:highlight w:val="none"/>
                <w:lang w:val="en-US" w:eastAsia="zh-CN" w:bidi="ar-SA"/>
              </w:rPr>
            </w:pPr>
            <w:r>
              <w:rPr>
                <w:rFonts w:hint="default" w:ascii="Times New Roman" w:hAnsi="Times New Roman" w:cs="Times New Roman" w:eastAsiaTheme="minorEastAsia"/>
                <w:sz w:val="15"/>
                <w:szCs w:val="15"/>
                <w:highlight w:val="none"/>
              </w:rPr>
              <w:t>提升</w:t>
            </w:r>
          </w:p>
        </w:tc>
        <w:tc>
          <w:tcPr>
            <w:tcW w:w="450" w:type="dxa"/>
            <w:vAlign w:val="center"/>
          </w:tcPr>
          <w:p w14:paraId="51AACA0B">
            <w:pPr>
              <w:jc w:val="center"/>
              <w:rPr>
                <w:rFonts w:ascii="Times New Roman" w:hAnsi="Times New Roman"/>
                <w:sz w:val="15"/>
                <w:szCs w:val="13"/>
                <w:highlight w:val="none"/>
              </w:rPr>
            </w:pPr>
          </w:p>
        </w:tc>
        <w:tc>
          <w:tcPr>
            <w:tcW w:w="440" w:type="dxa"/>
            <w:vAlign w:val="center"/>
          </w:tcPr>
          <w:p w14:paraId="6EF8F017">
            <w:pPr>
              <w:jc w:val="center"/>
              <w:rPr>
                <w:rFonts w:ascii="Times New Roman" w:hAnsi="Times New Roman"/>
                <w:sz w:val="15"/>
                <w:szCs w:val="13"/>
                <w:highlight w:val="none"/>
              </w:rPr>
            </w:pPr>
          </w:p>
        </w:tc>
        <w:tc>
          <w:tcPr>
            <w:tcW w:w="880" w:type="dxa"/>
            <w:vAlign w:val="center"/>
          </w:tcPr>
          <w:p w14:paraId="19081E56">
            <w:pPr>
              <w:jc w:val="center"/>
              <w:rPr>
                <w:rFonts w:ascii="Times New Roman" w:hAnsi="Times New Roman"/>
                <w:sz w:val="15"/>
                <w:szCs w:val="13"/>
                <w:highlight w:val="none"/>
              </w:rPr>
            </w:pPr>
          </w:p>
        </w:tc>
        <w:tc>
          <w:tcPr>
            <w:tcW w:w="510" w:type="dxa"/>
            <w:vAlign w:val="center"/>
          </w:tcPr>
          <w:p w14:paraId="3505C760">
            <w:pPr>
              <w:jc w:val="center"/>
              <w:rPr>
                <w:rFonts w:ascii="Times New Roman" w:hAnsi="Times New Roman"/>
                <w:sz w:val="15"/>
                <w:szCs w:val="13"/>
                <w:highlight w:val="none"/>
              </w:rPr>
            </w:pPr>
          </w:p>
        </w:tc>
        <w:tc>
          <w:tcPr>
            <w:tcW w:w="716" w:type="dxa"/>
            <w:vAlign w:val="center"/>
          </w:tcPr>
          <w:p w14:paraId="2FC8826C">
            <w:pPr>
              <w:jc w:val="center"/>
              <w:rPr>
                <w:rFonts w:ascii="Times New Roman" w:hAnsi="Times New Roman"/>
                <w:sz w:val="15"/>
                <w:szCs w:val="13"/>
                <w:highlight w:val="none"/>
              </w:rPr>
            </w:pPr>
          </w:p>
        </w:tc>
        <w:tc>
          <w:tcPr>
            <w:tcW w:w="1080" w:type="dxa"/>
            <w:vAlign w:val="center"/>
          </w:tcPr>
          <w:p w14:paraId="09AB3BBE">
            <w:pPr>
              <w:jc w:val="center"/>
              <w:rPr>
                <w:rFonts w:ascii="Times New Roman" w:hAnsi="Times New Roman"/>
                <w:sz w:val="15"/>
                <w:szCs w:val="13"/>
                <w:highlight w:val="none"/>
              </w:rPr>
            </w:pPr>
          </w:p>
        </w:tc>
        <w:tc>
          <w:tcPr>
            <w:tcW w:w="648" w:type="dxa"/>
            <w:vMerge w:val="continue"/>
            <w:vAlign w:val="center"/>
          </w:tcPr>
          <w:p w14:paraId="75B32E9D">
            <w:pPr>
              <w:jc w:val="center"/>
              <w:rPr>
                <w:rFonts w:ascii="Times New Roman" w:hAnsi="Times New Roman"/>
                <w:sz w:val="15"/>
                <w:szCs w:val="13"/>
                <w:highlight w:val="none"/>
              </w:rPr>
            </w:pPr>
          </w:p>
        </w:tc>
        <w:tc>
          <w:tcPr>
            <w:tcW w:w="876" w:type="dxa"/>
            <w:vMerge w:val="continue"/>
            <w:vAlign w:val="center"/>
          </w:tcPr>
          <w:p w14:paraId="4516AE7D">
            <w:pPr>
              <w:jc w:val="center"/>
              <w:rPr>
                <w:rFonts w:ascii="Times New Roman" w:hAnsi="Times New Roman"/>
                <w:sz w:val="15"/>
                <w:szCs w:val="13"/>
                <w:highlight w:val="none"/>
              </w:rPr>
            </w:pPr>
          </w:p>
        </w:tc>
        <w:tc>
          <w:tcPr>
            <w:tcW w:w="724" w:type="dxa"/>
            <w:vMerge w:val="continue"/>
            <w:vAlign w:val="center"/>
          </w:tcPr>
          <w:p w14:paraId="12EA26B7">
            <w:pPr>
              <w:jc w:val="center"/>
              <w:rPr>
                <w:rFonts w:ascii="Times New Roman" w:hAnsi="Times New Roman"/>
                <w:sz w:val="15"/>
                <w:szCs w:val="13"/>
                <w:highlight w:val="none"/>
              </w:rPr>
            </w:pPr>
          </w:p>
        </w:tc>
        <w:tc>
          <w:tcPr>
            <w:tcW w:w="390" w:type="dxa"/>
            <w:vMerge w:val="continue"/>
            <w:vAlign w:val="center"/>
          </w:tcPr>
          <w:p w14:paraId="1C8F4CC6">
            <w:pPr>
              <w:jc w:val="center"/>
              <w:rPr>
                <w:rFonts w:ascii="Times New Roman" w:hAnsi="Times New Roman"/>
                <w:sz w:val="15"/>
                <w:szCs w:val="13"/>
                <w:highlight w:val="none"/>
              </w:rPr>
            </w:pPr>
          </w:p>
        </w:tc>
      </w:tr>
    </w:tbl>
    <w:p w14:paraId="567FD4D3">
      <w:pPr>
        <w:jc w:val="center"/>
        <w:rPr>
          <w:rFonts w:ascii="Times New Roman" w:hAnsi="Times New Roman"/>
          <w:b/>
          <w:sz w:val="20"/>
          <w:szCs w:val="20"/>
          <w:highlight w:val="none"/>
        </w:rPr>
      </w:pPr>
      <w:r>
        <w:rPr>
          <w:rFonts w:hint="default" w:ascii="Times New Roman" w:hAnsi="Times New Roman"/>
          <w:b/>
          <w:sz w:val="20"/>
          <w:szCs w:val="20"/>
          <w:highlight w:val="none"/>
        </w:rPr>
        <w:t>表A</w:t>
      </w:r>
      <w:r>
        <w:rPr>
          <w:rFonts w:hint="default" w:ascii="Times New Roman" w:hAnsi="Times New Roman"/>
          <w:b/>
          <w:sz w:val="20"/>
          <w:szCs w:val="20"/>
          <w:highlight w:val="none"/>
          <w:lang w:val="en-US" w:eastAsia="zh-CN"/>
        </w:rPr>
        <w:t>.2 高压旋喷</w:t>
      </w:r>
      <w:r>
        <w:rPr>
          <w:rFonts w:hint="eastAsia" w:ascii="Times New Roman" w:hAnsi="Times New Roman"/>
          <w:b/>
          <w:sz w:val="20"/>
          <w:szCs w:val="20"/>
          <w:highlight w:val="none"/>
          <w:lang w:val="en-US" w:eastAsia="zh-CN"/>
        </w:rPr>
        <w:t>工艺</w:t>
      </w:r>
      <w:r>
        <w:rPr>
          <w:rFonts w:hint="default" w:ascii="Times New Roman" w:hAnsi="Times New Roman"/>
          <w:b/>
          <w:sz w:val="20"/>
          <w:szCs w:val="20"/>
          <w:highlight w:val="none"/>
        </w:rPr>
        <w:t>施工记录表</w:t>
      </w:r>
    </w:p>
    <w:p w14:paraId="34B5744B">
      <w:pPr>
        <w:rPr>
          <w:rFonts w:hint="default" w:ascii="Times New Roman" w:hAnsi="Times New Roman" w:eastAsia="宋体"/>
          <w:sz w:val="15"/>
          <w:szCs w:val="13"/>
          <w:highlight w:val="none"/>
          <w:lang w:val="en-US" w:eastAsia="zh-CN"/>
        </w:rPr>
      </w:pPr>
      <w:r>
        <w:rPr>
          <w:rFonts w:hint="default" w:ascii="Times New Roman" w:hAnsi="Times New Roman"/>
          <w:sz w:val="15"/>
          <w:szCs w:val="13"/>
          <w:highlight w:val="none"/>
        </w:rPr>
        <w:t xml:space="preserve">工程名称：                                    </w:t>
      </w:r>
      <w:r>
        <w:rPr>
          <w:rFonts w:hint="default" w:ascii="Times New Roman" w:hAnsi="Times New Roman"/>
          <w:color w:val="000000" w:themeColor="text1"/>
          <w:sz w:val="15"/>
          <w:szCs w:val="13"/>
          <w:highlight w:val="none"/>
          <w14:textFill>
            <w14:solidFill>
              <w14:schemeClr w14:val="tx1"/>
            </w14:solidFill>
          </w14:textFill>
        </w:rPr>
        <w:t xml:space="preserve">施工单位： </w:t>
      </w:r>
      <w:r>
        <w:rPr>
          <w:rFonts w:ascii="Times New Roman" w:hAnsi="Times New Roman"/>
          <w:color w:val="000000" w:themeColor="text1"/>
          <w:sz w:val="15"/>
          <w:szCs w:val="13"/>
          <w:highlight w:val="none"/>
          <w14:textFill>
            <w14:solidFill>
              <w14:schemeClr w14:val="tx1"/>
            </w14:solidFill>
          </w14:textFill>
        </w:rPr>
        <w:t xml:space="preserve">    </w:t>
      </w:r>
      <w:r>
        <w:rPr>
          <w:rFonts w:hint="default" w:ascii="Times New Roman" w:hAnsi="Times New Roman"/>
          <w:color w:val="000000" w:themeColor="text1"/>
          <w:sz w:val="15"/>
          <w:szCs w:val="13"/>
          <w:highlight w:val="none"/>
          <w:lang w:val="en-US" w:eastAsia="zh-CN"/>
          <w14:textFill>
            <w14:solidFill>
              <w14:schemeClr w14:val="tx1"/>
            </w14:solidFill>
          </w14:textFill>
        </w:rPr>
        <w:t xml:space="preserve">     </w:t>
      </w:r>
      <w:r>
        <w:rPr>
          <w:rFonts w:hint="default" w:ascii="Times New Roman" w:hAnsi="Times New Roman"/>
          <w:color w:val="000000" w:themeColor="text1"/>
          <w:sz w:val="15"/>
          <w:szCs w:val="13"/>
          <w:highlight w:val="none"/>
          <w14:textFill>
            <w14:solidFill>
              <w14:schemeClr w14:val="tx1"/>
            </w14:solidFill>
          </w14:textFill>
        </w:rPr>
        <w:t>记录：</w:t>
      </w:r>
    </w:p>
    <w:p w14:paraId="79191048">
      <w:pPr>
        <w:rPr>
          <w:rFonts w:ascii="Times New Roman" w:hAnsi="Times New Roman"/>
          <w:sz w:val="15"/>
          <w:szCs w:val="13"/>
          <w:highlight w:val="none"/>
        </w:rPr>
      </w:pPr>
      <w:r>
        <w:rPr>
          <w:rFonts w:hint="default" w:ascii="Times New Roman" w:hAnsi="Times New Roman"/>
          <w:sz w:val="15"/>
          <w:szCs w:val="13"/>
          <w:highlight w:val="none"/>
        </w:rPr>
        <w:t>设计桩顶标高：         设计桩底标高：         钻机类型：          编号：</w:t>
      </w:r>
    </w:p>
    <w:tbl>
      <w:tblPr>
        <w:tblStyle w:val="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
        <w:gridCol w:w="390"/>
        <w:gridCol w:w="390"/>
        <w:gridCol w:w="700"/>
        <w:gridCol w:w="450"/>
        <w:gridCol w:w="450"/>
        <w:gridCol w:w="440"/>
        <w:gridCol w:w="880"/>
        <w:gridCol w:w="510"/>
        <w:gridCol w:w="716"/>
        <w:gridCol w:w="1080"/>
        <w:gridCol w:w="648"/>
        <w:gridCol w:w="876"/>
        <w:gridCol w:w="724"/>
        <w:gridCol w:w="390"/>
      </w:tblGrid>
      <w:tr w14:paraId="25376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0" w:type="auto"/>
            <w:vMerge w:val="restart"/>
            <w:vAlign w:val="center"/>
          </w:tcPr>
          <w:p w14:paraId="4DF9E5FC">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序号</w:t>
            </w:r>
          </w:p>
        </w:tc>
        <w:tc>
          <w:tcPr>
            <w:tcW w:w="0" w:type="auto"/>
            <w:vMerge w:val="restart"/>
            <w:vAlign w:val="center"/>
          </w:tcPr>
          <w:p w14:paraId="70574CDB">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桩号</w:t>
            </w:r>
          </w:p>
        </w:tc>
        <w:tc>
          <w:tcPr>
            <w:tcW w:w="0" w:type="auto"/>
            <w:vMerge w:val="restart"/>
            <w:vAlign w:val="center"/>
          </w:tcPr>
          <w:p w14:paraId="7681539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施工</w:t>
            </w:r>
          </w:p>
          <w:p w14:paraId="0C13CEE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日期</w:t>
            </w:r>
          </w:p>
        </w:tc>
        <w:tc>
          <w:tcPr>
            <w:tcW w:w="700" w:type="dxa"/>
            <w:vMerge w:val="restart"/>
            <w:vAlign w:val="center"/>
          </w:tcPr>
          <w:p w14:paraId="7960DE5B">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地面</w:t>
            </w:r>
          </w:p>
          <w:p w14:paraId="5E00557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标高（m）</w:t>
            </w:r>
          </w:p>
        </w:tc>
        <w:tc>
          <w:tcPr>
            <w:tcW w:w="450" w:type="dxa"/>
            <w:vMerge w:val="restart"/>
            <w:vAlign w:val="center"/>
          </w:tcPr>
          <w:p w14:paraId="67D8B218">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施工工序</w:t>
            </w:r>
          </w:p>
        </w:tc>
        <w:tc>
          <w:tcPr>
            <w:tcW w:w="1770" w:type="dxa"/>
            <w:gridSpan w:val="3"/>
            <w:vAlign w:val="center"/>
          </w:tcPr>
          <w:p w14:paraId="0EBB378A">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时间</w:t>
            </w:r>
          </w:p>
        </w:tc>
        <w:tc>
          <w:tcPr>
            <w:tcW w:w="510" w:type="dxa"/>
            <w:vMerge w:val="restart"/>
            <w:vAlign w:val="center"/>
          </w:tcPr>
          <w:p w14:paraId="52A4EF4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浆液</w:t>
            </w:r>
          </w:p>
          <w:p w14:paraId="79F39A0A">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压力</w:t>
            </w:r>
          </w:p>
        </w:tc>
        <w:tc>
          <w:tcPr>
            <w:tcW w:w="716" w:type="dxa"/>
            <w:vMerge w:val="restart"/>
            <w:vAlign w:val="center"/>
          </w:tcPr>
          <w:p w14:paraId="29B69F0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钻杆旋转速度</w:t>
            </w:r>
          </w:p>
        </w:tc>
        <w:tc>
          <w:tcPr>
            <w:tcW w:w="1080" w:type="dxa"/>
            <w:vMerge w:val="restart"/>
            <w:vAlign w:val="center"/>
          </w:tcPr>
          <w:p w14:paraId="2E786836">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钻杆下沉/提升速度</w:t>
            </w:r>
          </w:p>
        </w:tc>
        <w:tc>
          <w:tcPr>
            <w:tcW w:w="648" w:type="dxa"/>
            <w:vMerge w:val="restart"/>
            <w:vAlign w:val="center"/>
          </w:tcPr>
          <w:p w14:paraId="0889D4B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垂直度偏差</w:t>
            </w:r>
          </w:p>
        </w:tc>
        <w:tc>
          <w:tcPr>
            <w:tcW w:w="876" w:type="dxa"/>
            <w:vMerge w:val="restart"/>
            <w:vAlign w:val="center"/>
          </w:tcPr>
          <w:p w14:paraId="77548C6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泥浆用量</w:t>
            </w:r>
          </w:p>
        </w:tc>
        <w:tc>
          <w:tcPr>
            <w:tcW w:w="724" w:type="dxa"/>
            <w:vMerge w:val="restart"/>
            <w:vAlign w:val="center"/>
          </w:tcPr>
          <w:p w14:paraId="0D3D1DA1">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引孔深度</w:t>
            </w:r>
          </w:p>
        </w:tc>
        <w:tc>
          <w:tcPr>
            <w:tcW w:w="0" w:type="auto"/>
            <w:vMerge w:val="restart"/>
            <w:vAlign w:val="center"/>
          </w:tcPr>
          <w:p w14:paraId="74DB4F7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备注</w:t>
            </w:r>
          </w:p>
        </w:tc>
      </w:tr>
      <w:tr w14:paraId="622D4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0" w:type="auto"/>
            <w:vMerge w:val="continue"/>
            <w:vAlign w:val="center"/>
          </w:tcPr>
          <w:p w14:paraId="7AF5FF6A">
            <w:pPr>
              <w:jc w:val="center"/>
              <w:rPr>
                <w:rFonts w:ascii="Times New Roman" w:hAnsi="Times New Roman"/>
                <w:sz w:val="15"/>
                <w:szCs w:val="13"/>
                <w:highlight w:val="none"/>
              </w:rPr>
            </w:pPr>
          </w:p>
        </w:tc>
        <w:tc>
          <w:tcPr>
            <w:tcW w:w="0" w:type="auto"/>
            <w:vMerge w:val="continue"/>
            <w:vAlign w:val="center"/>
          </w:tcPr>
          <w:p w14:paraId="7E7E41AA">
            <w:pPr>
              <w:jc w:val="center"/>
              <w:rPr>
                <w:rFonts w:ascii="Times New Roman" w:hAnsi="Times New Roman"/>
                <w:sz w:val="15"/>
                <w:szCs w:val="13"/>
                <w:highlight w:val="none"/>
              </w:rPr>
            </w:pPr>
          </w:p>
        </w:tc>
        <w:tc>
          <w:tcPr>
            <w:tcW w:w="0" w:type="auto"/>
            <w:vMerge w:val="continue"/>
            <w:vAlign w:val="center"/>
          </w:tcPr>
          <w:p w14:paraId="2544C25A">
            <w:pPr>
              <w:jc w:val="center"/>
              <w:rPr>
                <w:rFonts w:ascii="Times New Roman" w:hAnsi="Times New Roman"/>
                <w:sz w:val="15"/>
                <w:szCs w:val="13"/>
                <w:highlight w:val="none"/>
              </w:rPr>
            </w:pPr>
          </w:p>
        </w:tc>
        <w:tc>
          <w:tcPr>
            <w:tcW w:w="700" w:type="dxa"/>
            <w:vMerge w:val="continue"/>
            <w:vAlign w:val="center"/>
          </w:tcPr>
          <w:p w14:paraId="11816ACE">
            <w:pPr>
              <w:jc w:val="center"/>
              <w:rPr>
                <w:rFonts w:ascii="Times New Roman" w:hAnsi="Times New Roman"/>
                <w:sz w:val="15"/>
                <w:szCs w:val="13"/>
                <w:highlight w:val="none"/>
              </w:rPr>
            </w:pPr>
          </w:p>
        </w:tc>
        <w:tc>
          <w:tcPr>
            <w:tcW w:w="450" w:type="dxa"/>
            <w:vMerge w:val="continue"/>
            <w:vAlign w:val="center"/>
          </w:tcPr>
          <w:p w14:paraId="0612F588">
            <w:pPr>
              <w:jc w:val="center"/>
              <w:rPr>
                <w:rFonts w:ascii="Times New Roman" w:hAnsi="Times New Roman"/>
                <w:sz w:val="15"/>
                <w:szCs w:val="13"/>
                <w:highlight w:val="none"/>
              </w:rPr>
            </w:pPr>
          </w:p>
        </w:tc>
        <w:tc>
          <w:tcPr>
            <w:tcW w:w="450" w:type="dxa"/>
            <w:vAlign w:val="center"/>
          </w:tcPr>
          <w:p w14:paraId="72C054B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起</w:t>
            </w:r>
          </w:p>
        </w:tc>
        <w:tc>
          <w:tcPr>
            <w:tcW w:w="440" w:type="dxa"/>
            <w:vAlign w:val="center"/>
          </w:tcPr>
          <w:p w14:paraId="5CB7C59E">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止</w:t>
            </w:r>
          </w:p>
        </w:tc>
        <w:tc>
          <w:tcPr>
            <w:tcW w:w="880" w:type="dxa"/>
            <w:vAlign w:val="center"/>
          </w:tcPr>
          <w:p w14:paraId="0B80932B">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累计（min）</w:t>
            </w:r>
          </w:p>
        </w:tc>
        <w:tc>
          <w:tcPr>
            <w:tcW w:w="510" w:type="dxa"/>
            <w:vMerge w:val="continue"/>
            <w:vAlign w:val="center"/>
          </w:tcPr>
          <w:p w14:paraId="677F2452">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716" w:type="dxa"/>
            <w:vMerge w:val="continue"/>
            <w:vAlign w:val="center"/>
          </w:tcPr>
          <w:p w14:paraId="5BE9142A">
            <w:pPr>
              <w:jc w:val="center"/>
              <w:rPr>
                <w:rFonts w:ascii="Times New Roman" w:hAnsi="Times New Roman"/>
                <w:sz w:val="15"/>
                <w:szCs w:val="13"/>
                <w:highlight w:val="none"/>
              </w:rPr>
            </w:pPr>
          </w:p>
        </w:tc>
        <w:tc>
          <w:tcPr>
            <w:tcW w:w="1080" w:type="dxa"/>
            <w:vMerge w:val="continue"/>
            <w:vAlign w:val="center"/>
          </w:tcPr>
          <w:p w14:paraId="4162E839">
            <w:pPr>
              <w:jc w:val="center"/>
              <w:rPr>
                <w:rFonts w:ascii="Times New Roman" w:hAnsi="Times New Roman"/>
                <w:sz w:val="15"/>
                <w:szCs w:val="13"/>
                <w:highlight w:val="none"/>
              </w:rPr>
            </w:pPr>
          </w:p>
        </w:tc>
        <w:tc>
          <w:tcPr>
            <w:tcW w:w="648" w:type="dxa"/>
            <w:vMerge w:val="continue"/>
            <w:vAlign w:val="center"/>
          </w:tcPr>
          <w:p w14:paraId="5ED4809C">
            <w:pPr>
              <w:jc w:val="center"/>
              <w:rPr>
                <w:rFonts w:ascii="Times New Roman" w:hAnsi="Times New Roman"/>
                <w:sz w:val="15"/>
                <w:szCs w:val="13"/>
                <w:highlight w:val="none"/>
              </w:rPr>
            </w:pPr>
          </w:p>
        </w:tc>
        <w:tc>
          <w:tcPr>
            <w:tcW w:w="876" w:type="dxa"/>
            <w:vMerge w:val="continue"/>
            <w:vAlign w:val="center"/>
          </w:tcPr>
          <w:p w14:paraId="7D2051D5">
            <w:pPr>
              <w:jc w:val="center"/>
              <w:rPr>
                <w:rFonts w:ascii="Times New Roman" w:hAnsi="Times New Roman"/>
                <w:sz w:val="15"/>
                <w:szCs w:val="13"/>
                <w:highlight w:val="none"/>
              </w:rPr>
            </w:pPr>
          </w:p>
        </w:tc>
        <w:tc>
          <w:tcPr>
            <w:tcW w:w="724" w:type="dxa"/>
            <w:vMerge w:val="continue"/>
            <w:vAlign w:val="center"/>
          </w:tcPr>
          <w:p w14:paraId="6C24831F">
            <w:pPr>
              <w:jc w:val="center"/>
              <w:rPr>
                <w:rFonts w:ascii="Times New Roman" w:hAnsi="Times New Roman"/>
                <w:sz w:val="15"/>
                <w:szCs w:val="13"/>
                <w:highlight w:val="none"/>
              </w:rPr>
            </w:pPr>
          </w:p>
        </w:tc>
        <w:tc>
          <w:tcPr>
            <w:tcW w:w="0" w:type="auto"/>
            <w:vMerge w:val="continue"/>
            <w:vAlign w:val="center"/>
          </w:tcPr>
          <w:p w14:paraId="65B20948">
            <w:pPr>
              <w:jc w:val="center"/>
              <w:rPr>
                <w:rFonts w:ascii="Times New Roman" w:hAnsi="Times New Roman"/>
                <w:sz w:val="15"/>
                <w:szCs w:val="13"/>
                <w:highlight w:val="none"/>
              </w:rPr>
            </w:pPr>
          </w:p>
        </w:tc>
      </w:tr>
      <w:tr w14:paraId="47D55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0" w:type="auto"/>
            <w:vAlign w:val="center"/>
          </w:tcPr>
          <w:p w14:paraId="29AC3C11">
            <w:pPr>
              <w:jc w:val="center"/>
              <w:rPr>
                <w:rFonts w:ascii="Times New Roman" w:hAnsi="Times New Roman"/>
                <w:sz w:val="15"/>
                <w:szCs w:val="13"/>
                <w:highlight w:val="none"/>
              </w:rPr>
            </w:pPr>
          </w:p>
        </w:tc>
        <w:tc>
          <w:tcPr>
            <w:tcW w:w="0" w:type="auto"/>
            <w:vAlign w:val="center"/>
          </w:tcPr>
          <w:p w14:paraId="3C2BEDDE">
            <w:pPr>
              <w:jc w:val="center"/>
              <w:rPr>
                <w:rFonts w:ascii="Times New Roman" w:hAnsi="Times New Roman"/>
                <w:sz w:val="15"/>
                <w:szCs w:val="13"/>
                <w:highlight w:val="none"/>
              </w:rPr>
            </w:pPr>
          </w:p>
        </w:tc>
        <w:tc>
          <w:tcPr>
            <w:tcW w:w="0" w:type="auto"/>
            <w:vAlign w:val="center"/>
          </w:tcPr>
          <w:p w14:paraId="1CB77B9C">
            <w:pPr>
              <w:jc w:val="center"/>
              <w:rPr>
                <w:rFonts w:ascii="Times New Roman" w:hAnsi="Times New Roman"/>
                <w:sz w:val="15"/>
                <w:szCs w:val="13"/>
                <w:highlight w:val="none"/>
              </w:rPr>
            </w:pPr>
          </w:p>
        </w:tc>
        <w:tc>
          <w:tcPr>
            <w:tcW w:w="700" w:type="dxa"/>
            <w:vAlign w:val="center"/>
          </w:tcPr>
          <w:p w14:paraId="4D3F4A5D">
            <w:pPr>
              <w:jc w:val="center"/>
              <w:rPr>
                <w:rFonts w:ascii="Times New Roman" w:hAnsi="Times New Roman"/>
                <w:sz w:val="15"/>
                <w:szCs w:val="13"/>
                <w:highlight w:val="none"/>
              </w:rPr>
            </w:pPr>
          </w:p>
        </w:tc>
        <w:tc>
          <w:tcPr>
            <w:tcW w:w="450" w:type="dxa"/>
            <w:vAlign w:val="center"/>
          </w:tcPr>
          <w:p w14:paraId="149C854D">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450" w:type="dxa"/>
            <w:vAlign w:val="center"/>
          </w:tcPr>
          <w:p w14:paraId="1C5E958F">
            <w:pPr>
              <w:jc w:val="center"/>
              <w:rPr>
                <w:rFonts w:ascii="Times New Roman" w:hAnsi="Times New Roman"/>
                <w:sz w:val="15"/>
                <w:szCs w:val="13"/>
                <w:highlight w:val="none"/>
              </w:rPr>
            </w:pPr>
          </w:p>
        </w:tc>
        <w:tc>
          <w:tcPr>
            <w:tcW w:w="440" w:type="dxa"/>
            <w:vAlign w:val="center"/>
          </w:tcPr>
          <w:p w14:paraId="59C00F0A">
            <w:pPr>
              <w:jc w:val="center"/>
              <w:rPr>
                <w:rFonts w:ascii="Times New Roman" w:hAnsi="Times New Roman"/>
                <w:sz w:val="15"/>
                <w:szCs w:val="13"/>
                <w:highlight w:val="none"/>
              </w:rPr>
            </w:pPr>
          </w:p>
        </w:tc>
        <w:tc>
          <w:tcPr>
            <w:tcW w:w="880" w:type="dxa"/>
            <w:vAlign w:val="center"/>
          </w:tcPr>
          <w:p w14:paraId="68884C51">
            <w:pPr>
              <w:jc w:val="center"/>
              <w:rPr>
                <w:rFonts w:ascii="Times New Roman" w:hAnsi="Times New Roman"/>
                <w:sz w:val="15"/>
                <w:szCs w:val="13"/>
                <w:highlight w:val="none"/>
              </w:rPr>
            </w:pPr>
          </w:p>
        </w:tc>
        <w:tc>
          <w:tcPr>
            <w:tcW w:w="510" w:type="dxa"/>
            <w:vAlign w:val="center"/>
          </w:tcPr>
          <w:p w14:paraId="38D632E9">
            <w:pPr>
              <w:jc w:val="center"/>
              <w:rPr>
                <w:rFonts w:ascii="Times New Roman" w:hAnsi="Times New Roman"/>
                <w:sz w:val="15"/>
                <w:szCs w:val="13"/>
                <w:highlight w:val="none"/>
              </w:rPr>
            </w:pPr>
          </w:p>
        </w:tc>
        <w:tc>
          <w:tcPr>
            <w:tcW w:w="716" w:type="dxa"/>
            <w:vAlign w:val="center"/>
          </w:tcPr>
          <w:p w14:paraId="6AC9E3D7">
            <w:pPr>
              <w:jc w:val="center"/>
              <w:rPr>
                <w:rFonts w:ascii="Times New Roman" w:hAnsi="Times New Roman"/>
                <w:sz w:val="15"/>
                <w:szCs w:val="13"/>
                <w:highlight w:val="none"/>
              </w:rPr>
            </w:pPr>
          </w:p>
        </w:tc>
        <w:tc>
          <w:tcPr>
            <w:tcW w:w="1080" w:type="dxa"/>
            <w:vAlign w:val="center"/>
          </w:tcPr>
          <w:p w14:paraId="2140FDB0">
            <w:pPr>
              <w:jc w:val="center"/>
              <w:rPr>
                <w:rFonts w:ascii="Times New Roman" w:hAnsi="Times New Roman"/>
                <w:sz w:val="15"/>
                <w:szCs w:val="13"/>
                <w:highlight w:val="none"/>
              </w:rPr>
            </w:pPr>
          </w:p>
        </w:tc>
        <w:tc>
          <w:tcPr>
            <w:tcW w:w="648" w:type="dxa"/>
            <w:vMerge w:val="restart"/>
            <w:vAlign w:val="center"/>
          </w:tcPr>
          <w:p w14:paraId="5FF76669">
            <w:pPr>
              <w:jc w:val="center"/>
              <w:rPr>
                <w:rFonts w:ascii="Times New Roman" w:hAnsi="Times New Roman"/>
                <w:sz w:val="15"/>
                <w:szCs w:val="13"/>
                <w:highlight w:val="none"/>
              </w:rPr>
            </w:pPr>
          </w:p>
        </w:tc>
        <w:tc>
          <w:tcPr>
            <w:tcW w:w="876" w:type="dxa"/>
            <w:vMerge w:val="restart"/>
            <w:vAlign w:val="center"/>
          </w:tcPr>
          <w:p w14:paraId="68377805">
            <w:pPr>
              <w:jc w:val="center"/>
              <w:rPr>
                <w:rFonts w:ascii="Times New Roman" w:hAnsi="Times New Roman"/>
                <w:sz w:val="15"/>
                <w:szCs w:val="13"/>
                <w:highlight w:val="none"/>
              </w:rPr>
            </w:pPr>
          </w:p>
        </w:tc>
        <w:tc>
          <w:tcPr>
            <w:tcW w:w="724" w:type="dxa"/>
            <w:vMerge w:val="restart"/>
            <w:vAlign w:val="center"/>
          </w:tcPr>
          <w:p w14:paraId="4E8ABDCF">
            <w:pPr>
              <w:jc w:val="center"/>
              <w:rPr>
                <w:rFonts w:ascii="Times New Roman" w:hAnsi="Times New Roman"/>
                <w:sz w:val="15"/>
                <w:szCs w:val="13"/>
                <w:highlight w:val="none"/>
              </w:rPr>
            </w:pPr>
          </w:p>
        </w:tc>
        <w:tc>
          <w:tcPr>
            <w:tcW w:w="0" w:type="auto"/>
            <w:vMerge w:val="restart"/>
            <w:vAlign w:val="center"/>
          </w:tcPr>
          <w:p w14:paraId="02841893">
            <w:pPr>
              <w:jc w:val="center"/>
              <w:rPr>
                <w:rFonts w:ascii="Times New Roman" w:hAnsi="Times New Roman"/>
                <w:sz w:val="15"/>
                <w:szCs w:val="13"/>
                <w:highlight w:val="none"/>
              </w:rPr>
            </w:pPr>
          </w:p>
        </w:tc>
      </w:tr>
      <w:tr w14:paraId="4E4E5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0" w:type="auto"/>
            <w:vAlign w:val="center"/>
          </w:tcPr>
          <w:p w14:paraId="6144F3A2">
            <w:pPr>
              <w:jc w:val="center"/>
              <w:rPr>
                <w:rFonts w:ascii="Times New Roman" w:hAnsi="Times New Roman"/>
                <w:sz w:val="15"/>
                <w:szCs w:val="13"/>
                <w:highlight w:val="none"/>
              </w:rPr>
            </w:pPr>
          </w:p>
        </w:tc>
        <w:tc>
          <w:tcPr>
            <w:tcW w:w="0" w:type="auto"/>
            <w:vAlign w:val="center"/>
          </w:tcPr>
          <w:p w14:paraId="040C53B1">
            <w:pPr>
              <w:jc w:val="center"/>
              <w:rPr>
                <w:rFonts w:ascii="Times New Roman" w:hAnsi="Times New Roman"/>
                <w:sz w:val="15"/>
                <w:szCs w:val="13"/>
                <w:highlight w:val="none"/>
              </w:rPr>
            </w:pPr>
          </w:p>
        </w:tc>
        <w:tc>
          <w:tcPr>
            <w:tcW w:w="0" w:type="auto"/>
            <w:vAlign w:val="center"/>
          </w:tcPr>
          <w:p w14:paraId="4F5BB5B4">
            <w:pPr>
              <w:jc w:val="center"/>
              <w:rPr>
                <w:rFonts w:ascii="Times New Roman" w:hAnsi="Times New Roman"/>
                <w:sz w:val="15"/>
                <w:szCs w:val="13"/>
                <w:highlight w:val="none"/>
              </w:rPr>
            </w:pPr>
          </w:p>
        </w:tc>
        <w:tc>
          <w:tcPr>
            <w:tcW w:w="700" w:type="dxa"/>
            <w:vAlign w:val="center"/>
          </w:tcPr>
          <w:p w14:paraId="38A14B0F">
            <w:pPr>
              <w:jc w:val="center"/>
              <w:rPr>
                <w:rFonts w:ascii="Times New Roman" w:hAnsi="Times New Roman"/>
                <w:sz w:val="15"/>
                <w:szCs w:val="13"/>
                <w:highlight w:val="none"/>
              </w:rPr>
            </w:pPr>
          </w:p>
        </w:tc>
        <w:tc>
          <w:tcPr>
            <w:tcW w:w="450" w:type="dxa"/>
            <w:vAlign w:val="center"/>
          </w:tcPr>
          <w:p w14:paraId="0342CDE7">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450" w:type="dxa"/>
            <w:vAlign w:val="center"/>
          </w:tcPr>
          <w:p w14:paraId="7CC5B509">
            <w:pPr>
              <w:jc w:val="center"/>
              <w:rPr>
                <w:rFonts w:ascii="Times New Roman" w:hAnsi="Times New Roman"/>
                <w:sz w:val="15"/>
                <w:szCs w:val="13"/>
                <w:highlight w:val="none"/>
              </w:rPr>
            </w:pPr>
          </w:p>
        </w:tc>
        <w:tc>
          <w:tcPr>
            <w:tcW w:w="440" w:type="dxa"/>
            <w:vAlign w:val="center"/>
          </w:tcPr>
          <w:p w14:paraId="3C605158">
            <w:pPr>
              <w:jc w:val="center"/>
              <w:rPr>
                <w:rFonts w:ascii="Times New Roman" w:hAnsi="Times New Roman"/>
                <w:sz w:val="15"/>
                <w:szCs w:val="13"/>
                <w:highlight w:val="none"/>
              </w:rPr>
            </w:pPr>
          </w:p>
        </w:tc>
        <w:tc>
          <w:tcPr>
            <w:tcW w:w="880" w:type="dxa"/>
            <w:vAlign w:val="center"/>
          </w:tcPr>
          <w:p w14:paraId="475FD98B">
            <w:pPr>
              <w:jc w:val="center"/>
              <w:rPr>
                <w:rFonts w:ascii="Times New Roman" w:hAnsi="Times New Roman"/>
                <w:sz w:val="15"/>
                <w:szCs w:val="13"/>
                <w:highlight w:val="none"/>
              </w:rPr>
            </w:pPr>
          </w:p>
        </w:tc>
        <w:tc>
          <w:tcPr>
            <w:tcW w:w="510" w:type="dxa"/>
            <w:vAlign w:val="center"/>
          </w:tcPr>
          <w:p w14:paraId="59751CCA">
            <w:pPr>
              <w:jc w:val="center"/>
              <w:rPr>
                <w:rFonts w:ascii="Times New Roman" w:hAnsi="Times New Roman"/>
                <w:sz w:val="15"/>
                <w:szCs w:val="13"/>
                <w:highlight w:val="none"/>
              </w:rPr>
            </w:pPr>
          </w:p>
        </w:tc>
        <w:tc>
          <w:tcPr>
            <w:tcW w:w="716" w:type="dxa"/>
            <w:vAlign w:val="center"/>
          </w:tcPr>
          <w:p w14:paraId="5E49B341">
            <w:pPr>
              <w:jc w:val="center"/>
              <w:rPr>
                <w:rFonts w:ascii="Times New Roman" w:hAnsi="Times New Roman"/>
                <w:sz w:val="15"/>
                <w:szCs w:val="13"/>
                <w:highlight w:val="none"/>
              </w:rPr>
            </w:pPr>
          </w:p>
        </w:tc>
        <w:tc>
          <w:tcPr>
            <w:tcW w:w="1080" w:type="dxa"/>
            <w:vAlign w:val="center"/>
          </w:tcPr>
          <w:p w14:paraId="1EB50F9B">
            <w:pPr>
              <w:jc w:val="center"/>
              <w:rPr>
                <w:rFonts w:ascii="Times New Roman" w:hAnsi="Times New Roman"/>
                <w:sz w:val="15"/>
                <w:szCs w:val="13"/>
                <w:highlight w:val="none"/>
              </w:rPr>
            </w:pPr>
          </w:p>
        </w:tc>
        <w:tc>
          <w:tcPr>
            <w:tcW w:w="648" w:type="dxa"/>
            <w:vMerge w:val="continue"/>
            <w:vAlign w:val="center"/>
          </w:tcPr>
          <w:p w14:paraId="4FFB4D5A">
            <w:pPr>
              <w:jc w:val="center"/>
              <w:rPr>
                <w:rFonts w:ascii="Times New Roman" w:hAnsi="Times New Roman"/>
                <w:sz w:val="15"/>
                <w:szCs w:val="13"/>
                <w:highlight w:val="none"/>
              </w:rPr>
            </w:pPr>
          </w:p>
        </w:tc>
        <w:tc>
          <w:tcPr>
            <w:tcW w:w="876" w:type="dxa"/>
            <w:vMerge w:val="continue"/>
            <w:vAlign w:val="center"/>
          </w:tcPr>
          <w:p w14:paraId="52F8A3AB">
            <w:pPr>
              <w:jc w:val="center"/>
              <w:rPr>
                <w:rFonts w:ascii="Times New Roman" w:hAnsi="Times New Roman"/>
                <w:sz w:val="15"/>
                <w:szCs w:val="13"/>
                <w:highlight w:val="none"/>
              </w:rPr>
            </w:pPr>
          </w:p>
        </w:tc>
        <w:tc>
          <w:tcPr>
            <w:tcW w:w="724" w:type="dxa"/>
            <w:vMerge w:val="continue"/>
            <w:vAlign w:val="center"/>
          </w:tcPr>
          <w:p w14:paraId="73693226">
            <w:pPr>
              <w:jc w:val="center"/>
              <w:rPr>
                <w:rFonts w:ascii="Times New Roman" w:hAnsi="Times New Roman"/>
                <w:sz w:val="15"/>
                <w:szCs w:val="13"/>
                <w:highlight w:val="none"/>
              </w:rPr>
            </w:pPr>
          </w:p>
        </w:tc>
        <w:tc>
          <w:tcPr>
            <w:tcW w:w="0" w:type="auto"/>
            <w:vMerge w:val="continue"/>
            <w:vAlign w:val="center"/>
          </w:tcPr>
          <w:p w14:paraId="01E0630D">
            <w:pPr>
              <w:jc w:val="center"/>
              <w:rPr>
                <w:rFonts w:ascii="Times New Roman" w:hAnsi="Times New Roman"/>
                <w:sz w:val="15"/>
                <w:szCs w:val="13"/>
                <w:highlight w:val="none"/>
              </w:rPr>
            </w:pPr>
          </w:p>
        </w:tc>
      </w:tr>
      <w:tr w14:paraId="568B8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0" w:type="auto"/>
            <w:vAlign w:val="center"/>
          </w:tcPr>
          <w:p w14:paraId="3BDDBAF1">
            <w:pPr>
              <w:jc w:val="center"/>
              <w:rPr>
                <w:rFonts w:ascii="Times New Roman" w:hAnsi="Times New Roman"/>
                <w:sz w:val="15"/>
                <w:szCs w:val="13"/>
                <w:highlight w:val="none"/>
              </w:rPr>
            </w:pPr>
          </w:p>
        </w:tc>
        <w:tc>
          <w:tcPr>
            <w:tcW w:w="0" w:type="auto"/>
            <w:vAlign w:val="center"/>
          </w:tcPr>
          <w:p w14:paraId="2539FC1A">
            <w:pPr>
              <w:jc w:val="center"/>
              <w:rPr>
                <w:rFonts w:ascii="Times New Roman" w:hAnsi="Times New Roman"/>
                <w:sz w:val="15"/>
                <w:szCs w:val="13"/>
                <w:highlight w:val="none"/>
              </w:rPr>
            </w:pPr>
          </w:p>
        </w:tc>
        <w:tc>
          <w:tcPr>
            <w:tcW w:w="0" w:type="auto"/>
            <w:vAlign w:val="center"/>
          </w:tcPr>
          <w:p w14:paraId="3042CF29">
            <w:pPr>
              <w:jc w:val="center"/>
              <w:rPr>
                <w:rFonts w:ascii="Times New Roman" w:hAnsi="Times New Roman"/>
                <w:sz w:val="15"/>
                <w:szCs w:val="13"/>
                <w:highlight w:val="none"/>
              </w:rPr>
            </w:pPr>
          </w:p>
        </w:tc>
        <w:tc>
          <w:tcPr>
            <w:tcW w:w="700" w:type="dxa"/>
            <w:vAlign w:val="center"/>
          </w:tcPr>
          <w:p w14:paraId="7F3DB5F0">
            <w:pPr>
              <w:jc w:val="center"/>
              <w:rPr>
                <w:rFonts w:ascii="Times New Roman" w:hAnsi="Times New Roman"/>
                <w:sz w:val="15"/>
                <w:szCs w:val="13"/>
                <w:highlight w:val="none"/>
              </w:rPr>
            </w:pPr>
          </w:p>
        </w:tc>
        <w:tc>
          <w:tcPr>
            <w:tcW w:w="450" w:type="dxa"/>
            <w:vAlign w:val="center"/>
          </w:tcPr>
          <w:p w14:paraId="0F1C280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450" w:type="dxa"/>
            <w:vAlign w:val="center"/>
          </w:tcPr>
          <w:p w14:paraId="249ADFCA">
            <w:pPr>
              <w:jc w:val="center"/>
              <w:rPr>
                <w:rFonts w:ascii="Times New Roman" w:hAnsi="Times New Roman"/>
                <w:sz w:val="15"/>
                <w:szCs w:val="13"/>
                <w:highlight w:val="none"/>
              </w:rPr>
            </w:pPr>
          </w:p>
        </w:tc>
        <w:tc>
          <w:tcPr>
            <w:tcW w:w="440" w:type="dxa"/>
            <w:vAlign w:val="center"/>
          </w:tcPr>
          <w:p w14:paraId="4FE02E86">
            <w:pPr>
              <w:jc w:val="center"/>
              <w:rPr>
                <w:rFonts w:ascii="Times New Roman" w:hAnsi="Times New Roman"/>
                <w:sz w:val="15"/>
                <w:szCs w:val="13"/>
                <w:highlight w:val="none"/>
              </w:rPr>
            </w:pPr>
          </w:p>
        </w:tc>
        <w:tc>
          <w:tcPr>
            <w:tcW w:w="880" w:type="dxa"/>
            <w:vAlign w:val="center"/>
          </w:tcPr>
          <w:p w14:paraId="3A16C905">
            <w:pPr>
              <w:jc w:val="center"/>
              <w:rPr>
                <w:rFonts w:ascii="Times New Roman" w:hAnsi="Times New Roman"/>
                <w:sz w:val="15"/>
                <w:szCs w:val="13"/>
                <w:highlight w:val="none"/>
              </w:rPr>
            </w:pPr>
          </w:p>
        </w:tc>
        <w:tc>
          <w:tcPr>
            <w:tcW w:w="510" w:type="dxa"/>
            <w:vAlign w:val="center"/>
          </w:tcPr>
          <w:p w14:paraId="36FD5FAB">
            <w:pPr>
              <w:jc w:val="center"/>
              <w:rPr>
                <w:rFonts w:ascii="Times New Roman" w:hAnsi="Times New Roman"/>
                <w:sz w:val="15"/>
                <w:szCs w:val="13"/>
                <w:highlight w:val="none"/>
              </w:rPr>
            </w:pPr>
          </w:p>
        </w:tc>
        <w:tc>
          <w:tcPr>
            <w:tcW w:w="716" w:type="dxa"/>
            <w:vAlign w:val="center"/>
          </w:tcPr>
          <w:p w14:paraId="33A47C21">
            <w:pPr>
              <w:jc w:val="center"/>
              <w:rPr>
                <w:rFonts w:ascii="Times New Roman" w:hAnsi="Times New Roman"/>
                <w:sz w:val="15"/>
                <w:szCs w:val="13"/>
                <w:highlight w:val="none"/>
              </w:rPr>
            </w:pPr>
          </w:p>
        </w:tc>
        <w:tc>
          <w:tcPr>
            <w:tcW w:w="1080" w:type="dxa"/>
            <w:vAlign w:val="center"/>
          </w:tcPr>
          <w:p w14:paraId="4C9AAB0F">
            <w:pPr>
              <w:jc w:val="center"/>
              <w:rPr>
                <w:rFonts w:ascii="Times New Roman" w:hAnsi="Times New Roman"/>
                <w:sz w:val="15"/>
                <w:szCs w:val="13"/>
                <w:highlight w:val="none"/>
              </w:rPr>
            </w:pPr>
          </w:p>
        </w:tc>
        <w:tc>
          <w:tcPr>
            <w:tcW w:w="648" w:type="dxa"/>
            <w:vMerge w:val="restart"/>
            <w:vAlign w:val="center"/>
          </w:tcPr>
          <w:p w14:paraId="2FA8C2EF">
            <w:pPr>
              <w:jc w:val="center"/>
              <w:rPr>
                <w:rFonts w:ascii="Times New Roman" w:hAnsi="Times New Roman"/>
                <w:sz w:val="15"/>
                <w:szCs w:val="13"/>
                <w:highlight w:val="none"/>
              </w:rPr>
            </w:pPr>
          </w:p>
        </w:tc>
        <w:tc>
          <w:tcPr>
            <w:tcW w:w="876" w:type="dxa"/>
            <w:vMerge w:val="restart"/>
            <w:vAlign w:val="center"/>
          </w:tcPr>
          <w:p w14:paraId="7DA3D6EF">
            <w:pPr>
              <w:jc w:val="center"/>
              <w:rPr>
                <w:rFonts w:ascii="Times New Roman" w:hAnsi="Times New Roman"/>
                <w:sz w:val="15"/>
                <w:szCs w:val="13"/>
                <w:highlight w:val="none"/>
              </w:rPr>
            </w:pPr>
          </w:p>
        </w:tc>
        <w:tc>
          <w:tcPr>
            <w:tcW w:w="724" w:type="dxa"/>
            <w:vMerge w:val="restart"/>
            <w:vAlign w:val="center"/>
          </w:tcPr>
          <w:p w14:paraId="58041597">
            <w:pPr>
              <w:jc w:val="center"/>
              <w:rPr>
                <w:rFonts w:ascii="Times New Roman" w:hAnsi="Times New Roman"/>
                <w:sz w:val="15"/>
                <w:szCs w:val="13"/>
                <w:highlight w:val="none"/>
              </w:rPr>
            </w:pPr>
          </w:p>
        </w:tc>
        <w:tc>
          <w:tcPr>
            <w:tcW w:w="0" w:type="auto"/>
            <w:vMerge w:val="restart"/>
            <w:vAlign w:val="center"/>
          </w:tcPr>
          <w:p w14:paraId="46450532">
            <w:pPr>
              <w:jc w:val="center"/>
              <w:rPr>
                <w:rFonts w:ascii="Times New Roman" w:hAnsi="Times New Roman"/>
                <w:sz w:val="15"/>
                <w:szCs w:val="13"/>
                <w:highlight w:val="none"/>
              </w:rPr>
            </w:pPr>
          </w:p>
        </w:tc>
      </w:tr>
      <w:tr w14:paraId="0FFE0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0" w:type="auto"/>
            <w:vAlign w:val="center"/>
          </w:tcPr>
          <w:p w14:paraId="699B79B1">
            <w:pPr>
              <w:jc w:val="center"/>
              <w:rPr>
                <w:rFonts w:ascii="Times New Roman" w:hAnsi="Times New Roman"/>
                <w:sz w:val="15"/>
                <w:szCs w:val="13"/>
                <w:highlight w:val="none"/>
              </w:rPr>
            </w:pPr>
          </w:p>
        </w:tc>
        <w:tc>
          <w:tcPr>
            <w:tcW w:w="0" w:type="auto"/>
            <w:vAlign w:val="center"/>
          </w:tcPr>
          <w:p w14:paraId="7861AE94">
            <w:pPr>
              <w:jc w:val="center"/>
              <w:rPr>
                <w:rFonts w:ascii="Times New Roman" w:hAnsi="Times New Roman"/>
                <w:sz w:val="15"/>
                <w:szCs w:val="13"/>
                <w:highlight w:val="none"/>
              </w:rPr>
            </w:pPr>
          </w:p>
        </w:tc>
        <w:tc>
          <w:tcPr>
            <w:tcW w:w="0" w:type="auto"/>
            <w:vAlign w:val="center"/>
          </w:tcPr>
          <w:p w14:paraId="6FB65E3A">
            <w:pPr>
              <w:jc w:val="center"/>
              <w:rPr>
                <w:rFonts w:ascii="Times New Roman" w:hAnsi="Times New Roman"/>
                <w:sz w:val="15"/>
                <w:szCs w:val="13"/>
                <w:highlight w:val="none"/>
              </w:rPr>
            </w:pPr>
          </w:p>
        </w:tc>
        <w:tc>
          <w:tcPr>
            <w:tcW w:w="700" w:type="dxa"/>
            <w:vAlign w:val="center"/>
          </w:tcPr>
          <w:p w14:paraId="5BCEA8FC">
            <w:pPr>
              <w:jc w:val="center"/>
              <w:rPr>
                <w:rFonts w:ascii="Times New Roman" w:hAnsi="Times New Roman"/>
                <w:sz w:val="15"/>
                <w:szCs w:val="13"/>
                <w:highlight w:val="none"/>
              </w:rPr>
            </w:pPr>
          </w:p>
        </w:tc>
        <w:tc>
          <w:tcPr>
            <w:tcW w:w="450" w:type="dxa"/>
            <w:vAlign w:val="center"/>
          </w:tcPr>
          <w:p w14:paraId="31E9C58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450" w:type="dxa"/>
            <w:vAlign w:val="center"/>
          </w:tcPr>
          <w:p w14:paraId="37BD42DE">
            <w:pPr>
              <w:jc w:val="center"/>
              <w:rPr>
                <w:rFonts w:ascii="Times New Roman" w:hAnsi="Times New Roman"/>
                <w:sz w:val="15"/>
                <w:szCs w:val="13"/>
                <w:highlight w:val="none"/>
              </w:rPr>
            </w:pPr>
          </w:p>
        </w:tc>
        <w:tc>
          <w:tcPr>
            <w:tcW w:w="440" w:type="dxa"/>
            <w:vAlign w:val="center"/>
          </w:tcPr>
          <w:p w14:paraId="430486C1">
            <w:pPr>
              <w:jc w:val="center"/>
              <w:rPr>
                <w:rFonts w:ascii="Times New Roman" w:hAnsi="Times New Roman"/>
                <w:sz w:val="15"/>
                <w:szCs w:val="13"/>
                <w:highlight w:val="none"/>
              </w:rPr>
            </w:pPr>
          </w:p>
        </w:tc>
        <w:tc>
          <w:tcPr>
            <w:tcW w:w="880" w:type="dxa"/>
            <w:vAlign w:val="center"/>
          </w:tcPr>
          <w:p w14:paraId="34A9A84F">
            <w:pPr>
              <w:jc w:val="center"/>
              <w:rPr>
                <w:rFonts w:ascii="Times New Roman" w:hAnsi="Times New Roman"/>
                <w:sz w:val="15"/>
                <w:szCs w:val="13"/>
                <w:highlight w:val="none"/>
              </w:rPr>
            </w:pPr>
          </w:p>
        </w:tc>
        <w:tc>
          <w:tcPr>
            <w:tcW w:w="510" w:type="dxa"/>
            <w:vAlign w:val="center"/>
          </w:tcPr>
          <w:p w14:paraId="6E61A6F5">
            <w:pPr>
              <w:jc w:val="center"/>
              <w:rPr>
                <w:rFonts w:ascii="Times New Roman" w:hAnsi="Times New Roman"/>
                <w:sz w:val="15"/>
                <w:szCs w:val="13"/>
                <w:highlight w:val="none"/>
              </w:rPr>
            </w:pPr>
          </w:p>
        </w:tc>
        <w:tc>
          <w:tcPr>
            <w:tcW w:w="716" w:type="dxa"/>
            <w:vAlign w:val="center"/>
          </w:tcPr>
          <w:p w14:paraId="2D7CB945">
            <w:pPr>
              <w:jc w:val="center"/>
              <w:rPr>
                <w:rFonts w:ascii="Times New Roman" w:hAnsi="Times New Roman"/>
                <w:sz w:val="15"/>
                <w:szCs w:val="13"/>
                <w:highlight w:val="none"/>
              </w:rPr>
            </w:pPr>
          </w:p>
        </w:tc>
        <w:tc>
          <w:tcPr>
            <w:tcW w:w="1080" w:type="dxa"/>
            <w:vAlign w:val="center"/>
          </w:tcPr>
          <w:p w14:paraId="4A367ADA">
            <w:pPr>
              <w:jc w:val="center"/>
              <w:rPr>
                <w:rFonts w:ascii="Times New Roman" w:hAnsi="Times New Roman"/>
                <w:sz w:val="15"/>
                <w:szCs w:val="13"/>
                <w:highlight w:val="none"/>
              </w:rPr>
            </w:pPr>
          </w:p>
        </w:tc>
        <w:tc>
          <w:tcPr>
            <w:tcW w:w="648" w:type="dxa"/>
            <w:vMerge w:val="continue"/>
            <w:vAlign w:val="center"/>
          </w:tcPr>
          <w:p w14:paraId="31D40FFC">
            <w:pPr>
              <w:jc w:val="center"/>
              <w:rPr>
                <w:rFonts w:ascii="Times New Roman" w:hAnsi="Times New Roman"/>
                <w:sz w:val="15"/>
                <w:szCs w:val="13"/>
                <w:highlight w:val="none"/>
              </w:rPr>
            </w:pPr>
          </w:p>
        </w:tc>
        <w:tc>
          <w:tcPr>
            <w:tcW w:w="876" w:type="dxa"/>
            <w:vMerge w:val="continue"/>
            <w:vAlign w:val="center"/>
          </w:tcPr>
          <w:p w14:paraId="5F892444">
            <w:pPr>
              <w:jc w:val="center"/>
              <w:rPr>
                <w:rFonts w:ascii="Times New Roman" w:hAnsi="Times New Roman"/>
                <w:sz w:val="15"/>
                <w:szCs w:val="13"/>
                <w:highlight w:val="none"/>
              </w:rPr>
            </w:pPr>
          </w:p>
        </w:tc>
        <w:tc>
          <w:tcPr>
            <w:tcW w:w="724" w:type="dxa"/>
            <w:vMerge w:val="continue"/>
            <w:vAlign w:val="center"/>
          </w:tcPr>
          <w:p w14:paraId="0E2B24FD">
            <w:pPr>
              <w:jc w:val="center"/>
              <w:rPr>
                <w:rFonts w:ascii="Times New Roman" w:hAnsi="Times New Roman"/>
                <w:sz w:val="15"/>
                <w:szCs w:val="13"/>
                <w:highlight w:val="none"/>
              </w:rPr>
            </w:pPr>
          </w:p>
        </w:tc>
        <w:tc>
          <w:tcPr>
            <w:tcW w:w="0" w:type="auto"/>
            <w:vMerge w:val="continue"/>
            <w:vAlign w:val="center"/>
          </w:tcPr>
          <w:p w14:paraId="617DAE3F">
            <w:pPr>
              <w:jc w:val="center"/>
              <w:rPr>
                <w:rFonts w:ascii="Times New Roman" w:hAnsi="Times New Roman"/>
                <w:sz w:val="15"/>
                <w:szCs w:val="13"/>
                <w:highlight w:val="none"/>
              </w:rPr>
            </w:pPr>
          </w:p>
        </w:tc>
      </w:tr>
      <w:tr w14:paraId="06483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0" w:type="auto"/>
            <w:vAlign w:val="center"/>
          </w:tcPr>
          <w:p w14:paraId="63E30510">
            <w:pPr>
              <w:jc w:val="center"/>
              <w:rPr>
                <w:rFonts w:ascii="Times New Roman" w:hAnsi="Times New Roman"/>
                <w:sz w:val="15"/>
                <w:szCs w:val="13"/>
                <w:highlight w:val="none"/>
              </w:rPr>
            </w:pPr>
          </w:p>
        </w:tc>
        <w:tc>
          <w:tcPr>
            <w:tcW w:w="0" w:type="auto"/>
            <w:vAlign w:val="center"/>
          </w:tcPr>
          <w:p w14:paraId="2EC556B8">
            <w:pPr>
              <w:jc w:val="center"/>
              <w:rPr>
                <w:rFonts w:ascii="Times New Roman" w:hAnsi="Times New Roman"/>
                <w:sz w:val="15"/>
                <w:szCs w:val="13"/>
                <w:highlight w:val="none"/>
              </w:rPr>
            </w:pPr>
          </w:p>
        </w:tc>
        <w:tc>
          <w:tcPr>
            <w:tcW w:w="0" w:type="auto"/>
            <w:vAlign w:val="center"/>
          </w:tcPr>
          <w:p w14:paraId="4142CB74">
            <w:pPr>
              <w:jc w:val="center"/>
              <w:rPr>
                <w:rFonts w:ascii="Times New Roman" w:hAnsi="Times New Roman"/>
                <w:sz w:val="15"/>
                <w:szCs w:val="13"/>
                <w:highlight w:val="none"/>
              </w:rPr>
            </w:pPr>
          </w:p>
        </w:tc>
        <w:tc>
          <w:tcPr>
            <w:tcW w:w="700" w:type="dxa"/>
            <w:vAlign w:val="center"/>
          </w:tcPr>
          <w:p w14:paraId="0CB80495">
            <w:pPr>
              <w:jc w:val="center"/>
              <w:rPr>
                <w:rFonts w:ascii="Times New Roman" w:hAnsi="Times New Roman"/>
                <w:sz w:val="15"/>
                <w:szCs w:val="13"/>
                <w:highlight w:val="none"/>
              </w:rPr>
            </w:pPr>
          </w:p>
        </w:tc>
        <w:tc>
          <w:tcPr>
            <w:tcW w:w="450" w:type="dxa"/>
            <w:vAlign w:val="center"/>
          </w:tcPr>
          <w:p w14:paraId="65488C7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450" w:type="dxa"/>
            <w:vAlign w:val="center"/>
          </w:tcPr>
          <w:p w14:paraId="409B4F9B">
            <w:pPr>
              <w:jc w:val="center"/>
              <w:rPr>
                <w:rFonts w:ascii="Times New Roman" w:hAnsi="Times New Roman"/>
                <w:sz w:val="15"/>
                <w:szCs w:val="13"/>
                <w:highlight w:val="none"/>
              </w:rPr>
            </w:pPr>
          </w:p>
        </w:tc>
        <w:tc>
          <w:tcPr>
            <w:tcW w:w="440" w:type="dxa"/>
            <w:vAlign w:val="center"/>
          </w:tcPr>
          <w:p w14:paraId="07C8CD8C">
            <w:pPr>
              <w:jc w:val="center"/>
              <w:rPr>
                <w:rFonts w:ascii="Times New Roman" w:hAnsi="Times New Roman"/>
                <w:sz w:val="15"/>
                <w:szCs w:val="13"/>
                <w:highlight w:val="none"/>
              </w:rPr>
            </w:pPr>
          </w:p>
        </w:tc>
        <w:tc>
          <w:tcPr>
            <w:tcW w:w="880" w:type="dxa"/>
            <w:vAlign w:val="center"/>
          </w:tcPr>
          <w:p w14:paraId="4BF045C8">
            <w:pPr>
              <w:jc w:val="center"/>
              <w:rPr>
                <w:rFonts w:ascii="Times New Roman" w:hAnsi="Times New Roman"/>
                <w:sz w:val="15"/>
                <w:szCs w:val="13"/>
                <w:highlight w:val="none"/>
              </w:rPr>
            </w:pPr>
          </w:p>
        </w:tc>
        <w:tc>
          <w:tcPr>
            <w:tcW w:w="510" w:type="dxa"/>
            <w:vAlign w:val="center"/>
          </w:tcPr>
          <w:p w14:paraId="2E0B5C79">
            <w:pPr>
              <w:jc w:val="center"/>
              <w:rPr>
                <w:rFonts w:ascii="Times New Roman" w:hAnsi="Times New Roman"/>
                <w:sz w:val="15"/>
                <w:szCs w:val="13"/>
                <w:highlight w:val="none"/>
              </w:rPr>
            </w:pPr>
          </w:p>
        </w:tc>
        <w:tc>
          <w:tcPr>
            <w:tcW w:w="716" w:type="dxa"/>
            <w:vAlign w:val="center"/>
          </w:tcPr>
          <w:p w14:paraId="1D7C06C9">
            <w:pPr>
              <w:jc w:val="center"/>
              <w:rPr>
                <w:rFonts w:ascii="Times New Roman" w:hAnsi="Times New Roman"/>
                <w:sz w:val="15"/>
                <w:szCs w:val="13"/>
                <w:highlight w:val="none"/>
              </w:rPr>
            </w:pPr>
          </w:p>
        </w:tc>
        <w:tc>
          <w:tcPr>
            <w:tcW w:w="1080" w:type="dxa"/>
            <w:vAlign w:val="center"/>
          </w:tcPr>
          <w:p w14:paraId="29AC42FB">
            <w:pPr>
              <w:jc w:val="center"/>
              <w:rPr>
                <w:rFonts w:ascii="Times New Roman" w:hAnsi="Times New Roman"/>
                <w:sz w:val="15"/>
                <w:szCs w:val="13"/>
                <w:highlight w:val="none"/>
              </w:rPr>
            </w:pPr>
          </w:p>
        </w:tc>
        <w:tc>
          <w:tcPr>
            <w:tcW w:w="648" w:type="dxa"/>
            <w:vMerge w:val="restart"/>
            <w:vAlign w:val="center"/>
          </w:tcPr>
          <w:p w14:paraId="1C494B2B">
            <w:pPr>
              <w:jc w:val="center"/>
              <w:rPr>
                <w:rFonts w:ascii="Times New Roman" w:hAnsi="Times New Roman"/>
                <w:sz w:val="15"/>
                <w:szCs w:val="13"/>
                <w:highlight w:val="none"/>
              </w:rPr>
            </w:pPr>
          </w:p>
        </w:tc>
        <w:tc>
          <w:tcPr>
            <w:tcW w:w="876" w:type="dxa"/>
            <w:vMerge w:val="restart"/>
            <w:vAlign w:val="center"/>
          </w:tcPr>
          <w:p w14:paraId="63A9ABDA">
            <w:pPr>
              <w:jc w:val="center"/>
              <w:rPr>
                <w:rFonts w:ascii="Times New Roman" w:hAnsi="Times New Roman"/>
                <w:sz w:val="15"/>
                <w:szCs w:val="13"/>
                <w:highlight w:val="none"/>
              </w:rPr>
            </w:pPr>
          </w:p>
        </w:tc>
        <w:tc>
          <w:tcPr>
            <w:tcW w:w="724" w:type="dxa"/>
            <w:vMerge w:val="restart"/>
            <w:vAlign w:val="center"/>
          </w:tcPr>
          <w:p w14:paraId="40B7B641">
            <w:pPr>
              <w:jc w:val="center"/>
              <w:rPr>
                <w:rFonts w:ascii="Times New Roman" w:hAnsi="Times New Roman"/>
                <w:sz w:val="15"/>
                <w:szCs w:val="13"/>
                <w:highlight w:val="none"/>
              </w:rPr>
            </w:pPr>
          </w:p>
        </w:tc>
        <w:tc>
          <w:tcPr>
            <w:tcW w:w="0" w:type="auto"/>
            <w:vMerge w:val="restart"/>
            <w:vAlign w:val="center"/>
          </w:tcPr>
          <w:p w14:paraId="3DAEC50B">
            <w:pPr>
              <w:jc w:val="center"/>
              <w:rPr>
                <w:rFonts w:ascii="Times New Roman" w:hAnsi="Times New Roman"/>
                <w:sz w:val="15"/>
                <w:szCs w:val="13"/>
                <w:highlight w:val="none"/>
              </w:rPr>
            </w:pPr>
          </w:p>
        </w:tc>
      </w:tr>
      <w:tr w14:paraId="61877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0" w:type="auto"/>
            <w:vAlign w:val="center"/>
          </w:tcPr>
          <w:p w14:paraId="4BEEF93B">
            <w:pPr>
              <w:jc w:val="center"/>
              <w:rPr>
                <w:rFonts w:ascii="Times New Roman" w:hAnsi="Times New Roman"/>
                <w:sz w:val="15"/>
                <w:szCs w:val="13"/>
                <w:highlight w:val="none"/>
              </w:rPr>
            </w:pPr>
          </w:p>
        </w:tc>
        <w:tc>
          <w:tcPr>
            <w:tcW w:w="0" w:type="auto"/>
            <w:vAlign w:val="center"/>
          </w:tcPr>
          <w:p w14:paraId="53BDDCCA">
            <w:pPr>
              <w:jc w:val="center"/>
              <w:rPr>
                <w:rFonts w:ascii="Times New Roman" w:hAnsi="Times New Roman"/>
                <w:sz w:val="15"/>
                <w:szCs w:val="13"/>
                <w:highlight w:val="none"/>
              </w:rPr>
            </w:pPr>
          </w:p>
        </w:tc>
        <w:tc>
          <w:tcPr>
            <w:tcW w:w="0" w:type="auto"/>
            <w:vAlign w:val="center"/>
          </w:tcPr>
          <w:p w14:paraId="323C0628">
            <w:pPr>
              <w:jc w:val="center"/>
              <w:rPr>
                <w:rFonts w:ascii="Times New Roman" w:hAnsi="Times New Roman"/>
                <w:sz w:val="15"/>
                <w:szCs w:val="13"/>
                <w:highlight w:val="none"/>
              </w:rPr>
            </w:pPr>
          </w:p>
        </w:tc>
        <w:tc>
          <w:tcPr>
            <w:tcW w:w="700" w:type="dxa"/>
            <w:vAlign w:val="center"/>
          </w:tcPr>
          <w:p w14:paraId="0530A895">
            <w:pPr>
              <w:jc w:val="center"/>
              <w:rPr>
                <w:rFonts w:ascii="Times New Roman" w:hAnsi="Times New Roman"/>
                <w:sz w:val="15"/>
                <w:szCs w:val="13"/>
                <w:highlight w:val="none"/>
              </w:rPr>
            </w:pPr>
          </w:p>
        </w:tc>
        <w:tc>
          <w:tcPr>
            <w:tcW w:w="450" w:type="dxa"/>
            <w:vAlign w:val="center"/>
          </w:tcPr>
          <w:p w14:paraId="46C6A8AB">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450" w:type="dxa"/>
            <w:vAlign w:val="center"/>
          </w:tcPr>
          <w:p w14:paraId="0DFBCDE5">
            <w:pPr>
              <w:jc w:val="center"/>
              <w:rPr>
                <w:rFonts w:ascii="Times New Roman" w:hAnsi="Times New Roman"/>
                <w:sz w:val="15"/>
                <w:szCs w:val="13"/>
                <w:highlight w:val="none"/>
              </w:rPr>
            </w:pPr>
          </w:p>
        </w:tc>
        <w:tc>
          <w:tcPr>
            <w:tcW w:w="440" w:type="dxa"/>
            <w:vAlign w:val="center"/>
          </w:tcPr>
          <w:p w14:paraId="6CA068A9">
            <w:pPr>
              <w:jc w:val="center"/>
              <w:rPr>
                <w:rFonts w:ascii="Times New Roman" w:hAnsi="Times New Roman"/>
                <w:sz w:val="15"/>
                <w:szCs w:val="13"/>
                <w:highlight w:val="none"/>
              </w:rPr>
            </w:pPr>
          </w:p>
        </w:tc>
        <w:tc>
          <w:tcPr>
            <w:tcW w:w="880" w:type="dxa"/>
            <w:vAlign w:val="center"/>
          </w:tcPr>
          <w:p w14:paraId="5C4FAC09">
            <w:pPr>
              <w:jc w:val="center"/>
              <w:rPr>
                <w:rFonts w:ascii="Times New Roman" w:hAnsi="Times New Roman"/>
                <w:sz w:val="15"/>
                <w:szCs w:val="13"/>
                <w:highlight w:val="none"/>
              </w:rPr>
            </w:pPr>
          </w:p>
        </w:tc>
        <w:tc>
          <w:tcPr>
            <w:tcW w:w="510" w:type="dxa"/>
            <w:vAlign w:val="center"/>
          </w:tcPr>
          <w:p w14:paraId="42DFA804">
            <w:pPr>
              <w:jc w:val="center"/>
              <w:rPr>
                <w:rFonts w:ascii="Times New Roman" w:hAnsi="Times New Roman"/>
                <w:sz w:val="15"/>
                <w:szCs w:val="13"/>
                <w:highlight w:val="none"/>
              </w:rPr>
            </w:pPr>
          </w:p>
        </w:tc>
        <w:tc>
          <w:tcPr>
            <w:tcW w:w="716" w:type="dxa"/>
            <w:vAlign w:val="center"/>
          </w:tcPr>
          <w:p w14:paraId="622DF586">
            <w:pPr>
              <w:jc w:val="center"/>
              <w:rPr>
                <w:rFonts w:ascii="Times New Roman" w:hAnsi="Times New Roman"/>
                <w:sz w:val="15"/>
                <w:szCs w:val="13"/>
                <w:highlight w:val="none"/>
              </w:rPr>
            </w:pPr>
          </w:p>
        </w:tc>
        <w:tc>
          <w:tcPr>
            <w:tcW w:w="1080" w:type="dxa"/>
            <w:vAlign w:val="center"/>
          </w:tcPr>
          <w:p w14:paraId="2E369314">
            <w:pPr>
              <w:jc w:val="center"/>
              <w:rPr>
                <w:rFonts w:ascii="Times New Roman" w:hAnsi="Times New Roman"/>
                <w:sz w:val="15"/>
                <w:szCs w:val="13"/>
                <w:highlight w:val="none"/>
              </w:rPr>
            </w:pPr>
          </w:p>
        </w:tc>
        <w:tc>
          <w:tcPr>
            <w:tcW w:w="648" w:type="dxa"/>
            <w:vMerge w:val="continue"/>
            <w:vAlign w:val="center"/>
          </w:tcPr>
          <w:p w14:paraId="27FA7CF8">
            <w:pPr>
              <w:jc w:val="center"/>
              <w:rPr>
                <w:rFonts w:ascii="Times New Roman" w:hAnsi="Times New Roman"/>
                <w:sz w:val="15"/>
                <w:szCs w:val="13"/>
                <w:highlight w:val="none"/>
              </w:rPr>
            </w:pPr>
          </w:p>
        </w:tc>
        <w:tc>
          <w:tcPr>
            <w:tcW w:w="876" w:type="dxa"/>
            <w:vMerge w:val="continue"/>
            <w:vAlign w:val="center"/>
          </w:tcPr>
          <w:p w14:paraId="2A6983BB">
            <w:pPr>
              <w:jc w:val="center"/>
              <w:rPr>
                <w:rFonts w:ascii="Times New Roman" w:hAnsi="Times New Roman"/>
                <w:sz w:val="15"/>
                <w:szCs w:val="13"/>
                <w:highlight w:val="none"/>
              </w:rPr>
            </w:pPr>
          </w:p>
        </w:tc>
        <w:tc>
          <w:tcPr>
            <w:tcW w:w="724" w:type="dxa"/>
            <w:vMerge w:val="continue"/>
            <w:vAlign w:val="center"/>
          </w:tcPr>
          <w:p w14:paraId="11288D6C">
            <w:pPr>
              <w:jc w:val="center"/>
              <w:rPr>
                <w:rFonts w:ascii="Times New Roman" w:hAnsi="Times New Roman"/>
                <w:sz w:val="15"/>
                <w:szCs w:val="13"/>
                <w:highlight w:val="none"/>
              </w:rPr>
            </w:pPr>
          </w:p>
        </w:tc>
        <w:tc>
          <w:tcPr>
            <w:tcW w:w="0" w:type="auto"/>
            <w:vMerge w:val="continue"/>
            <w:vAlign w:val="center"/>
          </w:tcPr>
          <w:p w14:paraId="3D2EB05C">
            <w:pPr>
              <w:jc w:val="center"/>
              <w:rPr>
                <w:rFonts w:ascii="Times New Roman" w:hAnsi="Times New Roman"/>
                <w:sz w:val="15"/>
                <w:szCs w:val="13"/>
                <w:highlight w:val="none"/>
              </w:rPr>
            </w:pPr>
          </w:p>
        </w:tc>
      </w:tr>
      <w:tr w14:paraId="0E7EA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0" w:type="auto"/>
            <w:vAlign w:val="center"/>
          </w:tcPr>
          <w:p w14:paraId="2EB7E546">
            <w:pPr>
              <w:jc w:val="center"/>
              <w:rPr>
                <w:rFonts w:ascii="Times New Roman" w:hAnsi="Times New Roman"/>
                <w:sz w:val="15"/>
                <w:szCs w:val="13"/>
                <w:highlight w:val="none"/>
              </w:rPr>
            </w:pPr>
          </w:p>
        </w:tc>
        <w:tc>
          <w:tcPr>
            <w:tcW w:w="0" w:type="auto"/>
            <w:vAlign w:val="center"/>
          </w:tcPr>
          <w:p w14:paraId="7A5E78DC">
            <w:pPr>
              <w:jc w:val="center"/>
              <w:rPr>
                <w:rFonts w:ascii="Times New Roman" w:hAnsi="Times New Roman"/>
                <w:sz w:val="15"/>
                <w:szCs w:val="13"/>
                <w:highlight w:val="none"/>
              </w:rPr>
            </w:pPr>
          </w:p>
        </w:tc>
        <w:tc>
          <w:tcPr>
            <w:tcW w:w="0" w:type="auto"/>
            <w:vAlign w:val="center"/>
          </w:tcPr>
          <w:p w14:paraId="327D7F2C">
            <w:pPr>
              <w:jc w:val="center"/>
              <w:rPr>
                <w:rFonts w:ascii="Times New Roman" w:hAnsi="Times New Roman"/>
                <w:sz w:val="15"/>
                <w:szCs w:val="13"/>
                <w:highlight w:val="none"/>
              </w:rPr>
            </w:pPr>
          </w:p>
        </w:tc>
        <w:tc>
          <w:tcPr>
            <w:tcW w:w="700" w:type="dxa"/>
            <w:vAlign w:val="center"/>
          </w:tcPr>
          <w:p w14:paraId="76ACAE66">
            <w:pPr>
              <w:jc w:val="center"/>
              <w:rPr>
                <w:rFonts w:ascii="Times New Roman" w:hAnsi="Times New Roman"/>
                <w:sz w:val="15"/>
                <w:szCs w:val="13"/>
                <w:highlight w:val="none"/>
              </w:rPr>
            </w:pPr>
          </w:p>
        </w:tc>
        <w:tc>
          <w:tcPr>
            <w:tcW w:w="450" w:type="dxa"/>
            <w:vAlign w:val="center"/>
          </w:tcPr>
          <w:p w14:paraId="55510D6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450" w:type="dxa"/>
            <w:vAlign w:val="center"/>
          </w:tcPr>
          <w:p w14:paraId="11B8C584">
            <w:pPr>
              <w:jc w:val="center"/>
              <w:rPr>
                <w:rFonts w:ascii="Times New Roman" w:hAnsi="Times New Roman"/>
                <w:sz w:val="15"/>
                <w:szCs w:val="13"/>
                <w:highlight w:val="none"/>
              </w:rPr>
            </w:pPr>
          </w:p>
        </w:tc>
        <w:tc>
          <w:tcPr>
            <w:tcW w:w="440" w:type="dxa"/>
            <w:vAlign w:val="center"/>
          </w:tcPr>
          <w:p w14:paraId="22BA1737">
            <w:pPr>
              <w:jc w:val="center"/>
              <w:rPr>
                <w:rFonts w:ascii="Times New Roman" w:hAnsi="Times New Roman"/>
                <w:sz w:val="15"/>
                <w:szCs w:val="13"/>
                <w:highlight w:val="none"/>
              </w:rPr>
            </w:pPr>
          </w:p>
        </w:tc>
        <w:tc>
          <w:tcPr>
            <w:tcW w:w="880" w:type="dxa"/>
            <w:vAlign w:val="center"/>
          </w:tcPr>
          <w:p w14:paraId="11813E5B">
            <w:pPr>
              <w:jc w:val="center"/>
              <w:rPr>
                <w:rFonts w:ascii="Times New Roman" w:hAnsi="Times New Roman"/>
                <w:sz w:val="15"/>
                <w:szCs w:val="13"/>
                <w:highlight w:val="none"/>
              </w:rPr>
            </w:pPr>
          </w:p>
        </w:tc>
        <w:tc>
          <w:tcPr>
            <w:tcW w:w="510" w:type="dxa"/>
            <w:vAlign w:val="center"/>
          </w:tcPr>
          <w:p w14:paraId="54649437">
            <w:pPr>
              <w:jc w:val="center"/>
              <w:rPr>
                <w:rFonts w:ascii="Times New Roman" w:hAnsi="Times New Roman"/>
                <w:sz w:val="15"/>
                <w:szCs w:val="13"/>
                <w:highlight w:val="none"/>
              </w:rPr>
            </w:pPr>
          </w:p>
        </w:tc>
        <w:tc>
          <w:tcPr>
            <w:tcW w:w="716" w:type="dxa"/>
            <w:vAlign w:val="center"/>
          </w:tcPr>
          <w:p w14:paraId="171004BD">
            <w:pPr>
              <w:jc w:val="center"/>
              <w:rPr>
                <w:rFonts w:ascii="Times New Roman" w:hAnsi="Times New Roman"/>
                <w:sz w:val="15"/>
                <w:szCs w:val="13"/>
                <w:highlight w:val="none"/>
              </w:rPr>
            </w:pPr>
          </w:p>
        </w:tc>
        <w:tc>
          <w:tcPr>
            <w:tcW w:w="1080" w:type="dxa"/>
            <w:vAlign w:val="center"/>
          </w:tcPr>
          <w:p w14:paraId="0B1D17E6">
            <w:pPr>
              <w:jc w:val="center"/>
              <w:rPr>
                <w:rFonts w:ascii="Times New Roman" w:hAnsi="Times New Roman"/>
                <w:sz w:val="15"/>
                <w:szCs w:val="13"/>
                <w:highlight w:val="none"/>
              </w:rPr>
            </w:pPr>
          </w:p>
        </w:tc>
        <w:tc>
          <w:tcPr>
            <w:tcW w:w="648" w:type="dxa"/>
            <w:vMerge w:val="restart"/>
            <w:vAlign w:val="center"/>
          </w:tcPr>
          <w:p w14:paraId="530A3C28">
            <w:pPr>
              <w:jc w:val="center"/>
              <w:rPr>
                <w:rFonts w:ascii="Times New Roman" w:hAnsi="Times New Roman"/>
                <w:sz w:val="15"/>
                <w:szCs w:val="13"/>
                <w:highlight w:val="none"/>
              </w:rPr>
            </w:pPr>
          </w:p>
        </w:tc>
        <w:tc>
          <w:tcPr>
            <w:tcW w:w="876" w:type="dxa"/>
            <w:vMerge w:val="restart"/>
            <w:vAlign w:val="center"/>
          </w:tcPr>
          <w:p w14:paraId="572C6E6A">
            <w:pPr>
              <w:jc w:val="center"/>
              <w:rPr>
                <w:rFonts w:ascii="Times New Roman" w:hAnsi="Times New Roman"/>
                <w:sz w:val="15"/>
                <w:szCs w:val="13"/>
                <w:highlight w:val="none"/>
              </w:rPr>
            </w:pPr>
          </w:p>
        </w:tc>
        <w:tc>
          <w:tcPr>
            <w:tcW w:w="724" w:type="dxa"/>
            <w:vMerge w:val="restart"/>
            <w:vAlign w:val="center"/>
          </w:tcPr>
          <w:p w14:paraId="2924FD82">
            <w:pPr>
              <w:jc w:val="center"/>
              <w:rPr>
                <w:rFonts w:ascii="Times New Roman" w:hAnsi="Times New Roman"/>
                <w:sz w:val="15"/>
                <w:szCs w:val="13"/>
                <w:highlight w:val="none"/>
              </w:rPr>
            </w:pPr>
          </w:p>
        </w:tc>
        <w:tc>
          <w:tcPr>
            <w:tcW w:w="0" w:type="auto"/>
            <w:vMerge w:val="restart"/>
            <w:vAlign w:val="center"/>
          </w:tcPr>
          <w:p w14:paraId="1214EE35">
            <w:pPr>
              <w:jc w:val="center"/>
              <w:rPr>
                <w:rFonts w:ascii="Times New Roman" w:hAnsi="Times New Roman"/>
                <w:sz w:val="15"/>
                <w:szCs w:val="13"/>
                <w:highlight w:val="none"/>
              </w:rPr>
            </w:pPr>
          </w:p>
        </w:tc>
      </w:tr>
      <w:tr w14:paraId="4F787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14:paraId="4E9CB52D">
            <w:pPr>
              <w:jc w:val="center"/>
              <w:rPr>
                <w:rFonts w:ascii="Times New Roman" w:hAnsi="Times New Roman"/>
                <w:sz w:val="15"/>
                <w:szCs w:val="13"/>
                <w:highlight w:val="none"/>
              </w:rPr>
            </w:pPr>
          </w:p>
        </w:tc>
        <w:tc>
          <w:tcPr>
            <w:tcW w:w="0" w:type="auto"/>
            <w:vAlign w:val="center"/>
          </w:tcPr>
          <w:p w14:paraId="2A91118E">
            <w:pPr>
              <w:jc w:val="center"/>
              <w:rPr>
                <w:rFonts w:ascii="Times New Roman" w:hAnsi="Times New Roman"/>
                <w:sz w:val="15"/>
                <w:szCs w:val="13"/>
                <w:highlight w:val="none"/>
              </w:rPr>
            </w:pPr>
          </w:p>
        </w:tc>
        <w:tc>
          <w:tcPr>
            <w:tcW w:w="0" w:type="auto"/>
            <w:vAlign w:val="center"/>
          </w:tcPr>
          <w:p w14:paraId="60835A4A">
            <w:pPr>
              <w:jc w:val="center"/>
              <w:rPr>
                <w:rFonts w:ascii="Times New Roman" w:hAnsi="Times New Roman"/>
                <w:sz w:val="15"/>
                <w:szCs w:val="13"/>
                <w:highlight w:val="none"/>
              </w:rPr>
            </w:pPr>
          </w:p>
        </w:tc>
        <w:tc>
          <w:tcPr>
            <w:tcW w:w="700" w:type="dxa"/>
            <w:vAlign w:val="center"/>
          </w:tcPr>
          <w:p w14:paraId="7D26F2E7">
            <w:pPr>
              <w:jc w:val="center"/>
              <w:rPr>
                <w:rFonts w:ascii="Times New Roman" w:hAnsi="Times New Roman"/>
                <w:sz w:val="15"/>
                <w:szCs w:val="13"/>
                <w:highlight w:val="none"/>
              </w:rPr>
            </w:pPr>
          </w:p>
        </w:tc>
        <w:tc>
          <w:tcPr>
            <w:tcW w:w="450" w:type="dxa"/>
            <w:vAlign w:val="center"/>
          </w:tcPr>
          <w:p w14:paraId="72D630DD">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450" w:type="dxa"/>
            <w:vAlign w:val="center"/>
          </w:tcPr>
          <w:p w14:paraId="5676064F">
            <w:pPr>
              <w:jc w:val="center"/>
              <w:rPr>
                <w:rFonts w:ascii="Times New Roman" w:hAnsi="Times New Roman"/>
                <w:sz w:val="15"/>
                <w:szCs w:val="13"/>
                <w:highlight w:val="none"/>
              </w:rPr>
            </w:pPr>
          </w:p>
        </w:tc>
        <w:tc>
          <w:tcPr>
            <w:tcW w:w="440" w:type="dxa"/>
            <w:vAlign w:val="center"/>
          </w:tcPr>
          <w:p w14:paraId="20C86335">
            <w:pPr>
              <w:jc w:val="center"/>
              <w:rPr>
                <w:rFonts w:ascii="Times New Roman" w:hAnsi="Times New Roman"/>
                <w:sz w:val="15"/>
                <w:szCs w:val="13"/>
                <w:highlight w:val="none"/>
              </w:rPr>
            </w:pPr>
          </w:p>
        </w:tc>
        <w:tc>
          <w:tcPr>
            <w:tcW w:w="880" w:type="dxa"/>
            <w:vAlign w:val="center"/>
          </w:tcPr>
          <w:p w14:paraId="62E119AD">
            <w:pPr>
              <w:jc w:val="center"/>
              <w:rPr>
                <w:rFonts w:ascii="Times New Roman" w:hAnsi="Times New Roman"/>
                <w:sz w:val="15"/>
                <w:szCs w:val="13"/>
                <w:highlight w:val="none"/>
              </w:rPr>
            </w:pPr>
          </w:p>
        </w:tc>
        <w:tc>
          <w:tcPr>
            <w:tcW w:w="510" w:type="dxa"/>
            <w:vAlign w:val="center"/>
          </w:tcPr>
          <w:p w14:paraId="5F4CBD17">
            <w:pPr>
              <w:jc w:val="center"/>
              <w:rPr>
                <w:rFonts w:ascii="Times New Roman" w:hAnsi="Times New Roman"/>
                <w:sz w:val="15"/>
                <w:szCs w:val="13"/>
                <w:highlight w:val="none"/>
              </w:rPr>
            </w:pPr>
          </w:p>
        </w:tc>
        <w:tc>
          <w:tcPr>
            <w:tcW w:w="716" w:type="dxa"/>
            <w:vAlign w:val="center"/>
          </w:tcPr>
          <w:p w14:paraId="5F4B4486">
            <w:pPr>
              <w:jc w:val="center"/>
              <w:rPr>
                <w:rFonts w:ascii="Times New Roman" w:hAnsi="Times New Roman"/>
                <w:sz w:val="15"/>
                <w:szCs w:val="13"/>
                <w:highlight w:val="none"/>
              </w:rPr>
            </w:pPr>
          </w:p>
        </w:tc>
        <w:tc>
          <w:tcPr>
            <w:tcW w:w="1080" w:type="dxa"/>
            <w:vAlign w:val="center"/>
          </w:tcPr>
          <w:p w14:paraId="27E5EF7F">
            <w:pPr>
              <w:jc w:val="center"/>
              <w:rPr>
                <w:rFonts w:ascii="Times New Roman" w:hAnsi="Times New Roman"/>
                <w:sz w:val="15"/>
                <w:szCs w:val="13"/>
                <w:highlight w:val="none"/>
              </w:rPr>
            </w:pPr>
          </w:p>
        </w:tc>
        <w:tc>
          <w:tcPr>
            <w:tcW w:w="648" w:type="dxa"/>
            <w:vMerge w:val="continue"/>
            <w:vAlign w:val="center"/>
          </w:tcPr>
          <w:p w14:paraId="7BCD28B8">
            <w:pPr>
              <w:jc w:val="center"/>
              <w:rPr>
                <w:rFonts w:ascii="Times New Roman" w:hAnsi="Times New Roman"/>
                <w:sz w:val="15"/>
                <w:szCs w:val="13"/>
                <w:highlight w:val="none"/>
              </w:rPr>
            </w:pPr>
          </w:p>
        </w:tc>
        <w:tc>
          <w:tcPr>
            <w:tcW w:w="876" w:type="dxa"/>
            <w:vMerge w:val="continue"/>
            <w:vAlign w:val="center"/>
          </w:tcPr>
          <w:p w14:paraId="1A102BB3">
            <w:pPr>
              <w:jc w:val="center"/>
              <w:rPr>
                <w:rFonts w:ascii="Times New Roman" w:hAnsi="Times New Roman"/>
                <w:sz w:val="15"/>
                <w:szCs w:val="13"/>
                <w:highlight w:val="none"/>
              </w:rPr>
            </w:pPr>
          </w:p>
        </w:tc>
        <w:tc>
          <w:tcPr>
            <w:tcW w:w="724" w:type="dxa"/>
            <w:vMerge w:val="continue"/>
            <w:vAlign w:val="center"/>
          </w:tcPr>
          <w:p w14:paraId="2EFD2903">
            <w:pPr>
              <w:jc w:val="center"/>
              <w:rPr>
                <w:rFonts w:ascii="Times New Roman" w:hAnsi="Times New Roman"/>
                <w:sz w:val="15"/>
                <w:szCs w:val="13"/>
                <w:highlight w:val="none"/>
              </w:rPr>
            </w:pPr>
          </w:p>
        </w:tc>
        <w:tc>
          <w:tcPr>
            <w:tcW w:w="0" w:type="auto"/>
            <w:vMerge w:val="continue"/>
            <w:vAlign w:val="center"/>
          </w:tcPr>
          <w:p w14:paraId="7E0AD69A">
            <w:pPr>
              <w:jc w:val="center"/>
              <w:rPr>
                <w:rFonts w:ascii="Times New Roman" w:hAnsi="Times New Roman"/>
                <w:sz w:val="15"/>
                <w:szCs w:val="13"/>
                <w:highlight w:val="none"/>
              </w:rPr>
            </w:pPr>
          </w:p>
        </w:tc>
      </w:tr>
      <w:tr w14:paraId="0A7C0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14:paraId="2936847D">
            <w:pPr>
              <w:jc w:val="center"/>
              <w:rPr>
                <w:rFonts w:ascii="Times New Roman" w:hAnsi="Times New Roman"/>
                <w:sz w:val="15"/>
                <w:szCs w:val="13"/>
                <w:highlight w:val="none"/>
              </w:rPr>
            </w:pPr>
          </w:p>
        </w:tc>
        <w:tc>
          <w:tcPr>
            <w:tcW w:w="0" w:type="auto"/>
            <w:vAlign w:val="center"/>
          </w:tcPr>
          <w:p w14:paraId="228AEC38">
            <w:pPr>
              <w:jc w:val="center"/>
              <w:rPr>
                <w:rFonts w:ascii="Times New Roman" w:hAnsi="Times New Roman"/>
                <w:sz w:val="15"/>
                <w:szCs w:val="13"/>
                <w:highlight w:val="none"/>
              </w:rPr>
            </w:pPr>
          </w:p>
        </w:tc>
        <w:tc>
          <w:tcPr>
            <w:tcW w:w="0" w:type="auto"/>
            <w:vAlign w:val="center"/>
          </w:tcPr>
          <w:p w14:paraId="5E382E2C">
            <w:pPr>
              <w:jc w:val="center"/>
              <w:rPr>
                <w:rFonts w:ascii="Times New Roman" w:hAnsi="Times New Roman"/>
                <w:sz w:val="15"/>
                <w:szCs w:val="13"/>
                <w:highlight w:val="none"/>
              </w:rPr>
            </w:pPr>
          </w:p>
        </w:tc>
        <w:tc>
          <w:tcPr>
            <w:tcW w:w="700" w:type="dxa"/>
            <w:vAlign w:val="center"/>
          </w:tcPr>
          <w:p w14:paraId="4F2FCBBE">
            <w:pPr>
              <w:jc w:val="center"/>
              <w:rPr>
                <w:rFonts w:ascii="Times New Roman" w:hAnsi="Times New Roman"/>
                <w:sz w:val="15"/>
                <w:szCs w:val="13"/>
                <w:highlight w:val="none"/>
              </w:rPr>
            </w:pPr>
          </w:p>
        </w:tc>
        <w:tc>
          <w:tcPr>
            <w:tcW w:w="450" w:type="dxa"/>
            <w:vAlign w:val="center"/>
          </w:tcPr>
          <w:p w14:paraId="330814B2">
            <w:pPr>
              <w:spacing w:line="200" w:lineRule="exact"/>
              <w:ind w:left="-63" w:leftChars="-30" w:right="-63" w:rightChars="-30"/>
              <w:jc w:val="center"/>
              <w:rPr>
                <w:rFonts w:hint="default" w:ascii="Times New Roman" w:hAnsi="Times New Roman" w:cs="Times New Roman" w:eastAsiaTheme="minorEastAsia"/>
                <w:kern w:val="2"/>
                <w:sz w:val="15"/>
                <w:szCs w:val="15"/>
                <w:highlight w:val="none"/>
                <w:lang w:val="en-US" w:eastAsia="zh-CN" w:bidi="ar-SA"/>
              </w:rPr>
            </w:pPr>
            <w:r>
              <w:rPr>
                <w:rFonts w:hint="default" w:ascii="Times New Roman" w:hAnsi="Times New Roman" w:cs="Times New Roman" w:eastAsiaTheme="minorEastAsia"/>
                <w:sz w:val="15"/>
                <w:szCs w:val="15"/>
                <w:highlight w:val="none"/>
              </w:rPr>
              <w:t>下沉</w:t>
            </w:r>
          </w:p>
        </w:tc>
        <w:tc>
          <w:tcPr>
            <w:tcW w:w="450" w:type="dxa"/>
            <w:vAlign w:val="center"/>
          </w:tcPr>
          <w:p w14:paraId="19475F2B">
            <w:pPr>
              <w:jc w:val="center"/>
              <w:rPr>
                <w:rFonts w:ascii="Times New Roman" w:hAnsi="Times New Roman"/>
                <w:sz w:val="15"/>
                <w:szCs w:val="13"/>
                <w:highlight w:val="none"/>
              </w:rPr>
            </w:pPr>
          </w:p>
        </w:tc>
        <w:tc>
          <w:tcPr>
            <w:tcW w:w="440" w:type="dxa"/>
            <w:vAlign w:val="center"/>
          </w:tcPr>
          <w:p w14:paraId="1CBFB433">
            <w:pPr>
              <w:jc w:val="center"/>
              <w:rPr>
                <w:rFonts w:ascii="Times New Roman" w:hAnsi="Times New Roman"/>
                <w:sz w:val="15"/>
                <w:szCs w:val="13"/>
                <w:highlight w:val="none"/>
              </w:rPr>
            </w:pPr>
          </w:p>
        </w:tc>
        <w:tc>
          <w:tcPr>
            <w:tcW w:w="880" w:type="dxa"/>
            <w:vAlign w:val="center"/>
          </w:tcPr>
          <w:p w14:paraId="157CEA0F">
            <w:pPr>
              <w:jc w:val="center"/>
              <w:rPr>
                <w:rFonts w:ascii="Times New Roman" w:hAnsi="Times New Roman"/>
                <w:sz w:val="15"/>
                <w:szCs w:val="13"/>
                <w:highlight w:val="none"/>
              </w:rPr>
            </w:pPr>
          </w:p>
        </w:tc>
        <w:tc>
          <w:tcPr>
            <w:tcW w:w="510" w:type="dxa"/>
            <w:vAlign w:val="center"/>
          </w:tcPr>
          <w:p w14:paraId="187110ED">
            <w:pPr>
              <w:jc w:val="center"/>
              <w:rPr>
                <w:rFonts w:ascii="Times New Roman" w:hAnsi="Times New Roman"/>
                <w:sz w:val="15"/>
                <w:szCs w:val="13"/>
                <w:highlight w:val="none"/>
              </w:rPr>
            </w:pPr>
          </w:p>
        </w:tc>
        <w:tc>
          <w:tcPr>
            <w:tcW w:w="716" w:type="dxa"/>
            <w:vAlign w:val="center"/>
          </w:tcPr>
          <w:p w14:paraId="699A1E40">
            <w:pPr>
              <w:jc w:val="center"/>
              <w:rPr>
                <w:rFonts w:ascii="Times New Roman" w:hAnsi="Times New Roman"/>
                <w:sz w:val="15"/>
                <w:szCs w:val="13"/>
                <w:highlight w:val="none"/>
              </w:rPr>
            </w:pPr>
          </w:p>
        </w:tc>
        <w:tc>
          <w:tcPr>
            <w:tcW w:w="1080" w:type="dxa"/>
            <w:vAlign w:val="center"/>
          </w:tcPr>
          <w:p w14:paraId="738415CD">
            <w:pPr>
              <w:jc w:val="center"/>
              <w:rPr>
                <w:rFonts w:ascii="Times New Roman" w:hAnsi="Times New Roman"/>
                <w:sz w:val="15"/>
                <w:szCs w:val="13"/>
                <w:highlight w:val="none"/>
              </w:rPr>
            </w:pPr>
          </w:p>
        </w:tc>
        <w:tc>
          <w:tcPr>
            <w:tcW w:w="648" w:type="dxa"/>
            <w:vMerge w:val="restart"/>
            <w:vAlign w:val="center"/>
          </w:tcPr>
          <w:p w14:paraId="4ED79DC1">
            <w:pPr>
              <w:jc w:val="center"/>
              <w:rPr>
                <w:rFonts w:ascii="Times New Roman" w:hAnsi="Times New Roman"/>
                <w:sz w:val="15"/>
                <w:szCs w:val="13"/>
                <w:highlight w:val="none"/>
              </w:rPr>
            </w:pPr>
          </w:p>
        </w:tc>
        <w:tc>
          <w:tcPr>
            <w:tcW w:w="876" w:type="dxa"/>
            <w:vMerge w:val="restart"/>
            <w:vAlign w:val="center"/>
          </w:tcPr>
          <w:p w14:paraId="3D6D8E9A">
            <w:pPr>
              <w:jc w:val="center"/>
              <w:rPr>
                <w:rFonts w:ascii="Times New Roman" w:hAnsi="Times New Roman"/>
                <w:sz w:val="15"/>
                <w:szCs w:val="13"/>
                <w:highlight w:val="none"/>
              </w:rPr>
            </w:pPr>
          </w:p>
        </w:tc>
        <w:tc>
          <w:tcPr>
            <w:tcW w:w="724" w:type="dxa"/>
            <w:vMerge w:val="restart"/>
            <w:vAlign w:val="center"/>
          </w:tcPr>
          <w:p w14:paraId="560A3FFB">
            <w:pPr>
              <w:jc w:val="center"/>
              <w:rPr>
                <w:rFonts w:ascii="Times New Roman" w:hAnsi="Times New Roman"/>
                <w:sz w:val="15"/>
                <w:szCs w:val="13"/>
                <w:highlight w:val="none"/>
              </w:rPr>
            </w:pPr>
          </w:p>
        </w:tc>
        <w:tc>
          <w:tcPr>
            <w:tcW w:w="390" w:type="dxa"/>
            <w:vMerge w:val="restart"/>
            <w:vAlign w:val="center"/>
          </w:tcPr>
          <w:p w14:paraId="486E4141">
            <w:pPr>
              <w:jc w:val="center"/>
              <w:rPr>
                <w:rFonts w:ascii="Times New Roman" w:hAnsi="Times New Roman"/>
                <w:sz w:val="15"/>
                <w:szCs w:val="13"/>
                <w:highlight w:val="none"/>
              </w:rPr>
            </w:pPr>
          </w:p>
        </w:tc>
      </w:tr>
      <w:tr w14:paraId="65C1D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14:paraId="3A0814E3">
            <w:pPr>
              <w:jc w:val="center"/>
              <w:rPr>
                <w:rFonts w:ascii="Times New Roman" w:hAnsi="Times New Roman"/>
                <w:sz w:val="15"/>
                <w:szCs w:val="13"/>
                <w:highlight w:val="none"/>
              </w:rPr>
            </w:pPr>
          </w:p>
        </w:tc>
        <w:tc>
          <w:tcPr>
            <w:tcW w:w="0" w:type="auto"/>
            <w:vAlign w:val="center"/>
          </w:tcPr>
          <w:p w14:paraId="38C1291D">
            <w:pPr>
              <w:jc w:val="center"/>
              <w:rPr>
                <w:rFonts w:ascii="Times New Roman" w:hAnsi="Times New Roman"/>
                <w:sz w:val="15"/>
                <w:szCs w:val="13"/>
                <w:highlight w:val="none"/>
              </w:rPr>
            </w:pPr>
          </w:p>
        </w:tc>
        <w:tc>
          <w:tcPr>
            <w:tcW w:w="0" w:type="auto"/>
            <w:vAlign w:val="center"/>
          </w:tcPr>
          <w:p w14:paraId="148D9D34">
            <w:pPr>
              <w:jc w:val="center"/>
              <w:rPr>
                <w:rFonts w:ascii="Times New Roman" w:hAnsi="Times New Roman"/>
                <w:sz w:val="15"/>
                <w:szCs w:val="13"/>
                <w:highlight w:val="none"/>
              </w:rPr>
            </w:pPr>
          </w:p>
        </w:tc>
        <w:tc>
          <w:tcPr>
            <w:tcW w:w="700" w:type="dxa"/>
            <w:vAlign w:val="center"/>
          </w:tcPr>
          <w:p w14:paraId="05CE4568">
            <w:pPr>
              <w:jc w:val="center"/>
              <w:rPr>
                <w:rFonts w:ascii="Times New Roman" w:hAnsi="Times New Roman"/>
                <w:sz w:val="15"/>
                <w:szCs w:val="13"/>
                <w:highlight w:val="none"/>
              </w:rPr>
            </w:pPr>
          </w:p>
        </w:tc>
        <w:tc>
          <w:tcPr>
            <w:tcW w:w="450" w:type="dxa"/>
            <w:vAlign w:val="center"/>
          </w:tcPr>
          <w:p w14:paraId="50BEEAB2">
            <w:pPr>
              <w:spacing w:line="200" w:lineRule="exact"/>
              <w:ind w:left="-63" w:leftChars="-30" w:right="-63" w:rightChars="-30"/>
              <w:jc w:val="center"/>
              <w:rPr>
                <w:rFonts w:hint="default" w:ascii="Times New Roman" w:hAnsi="Times New Roman" w:cs="Times New Roman" w:eastAsiaTheme="minorEastAsia"/>
                <w:kern w:val="2"/>
                <w:sz w:val="15"/>
                <w:szCs w:val="15"/>
                <w:highlight w:val="none"/>
                <w:lang w:val="en-US" w:eastAsia="zh-CN" w:bidi="ar-SA"/>
              </w:rPr>
            </w:pPr>
            <w:r>
              <w:rPr>
                <w:rFonts w:hint="default" w:ascii="Times New Roman" w:hAnsi="Times New Roman" w:cs="Times New Roman" w:eastAsiaTheme="minorEastAsia"/>
                <w:sz w:val="15"/>
                <w:szCs w:val="15"/>
                <w:highlight w:val="none"/>
              </w:rPr>
              <w:t>提升</w:t>
            </w:r>
          </w:p>
        </w:tc>
        <w:tc>
          <w:tcPr>
            <w:tcW w:w="450" w:type="dxa"/>
            <w:vAlign w:val="center"/>
          </w:tcPr>
          <w:p w14:paraId="43121811">
            <w:pPr>
              <w:jc w:val="center"/>
              <w:rPr>
                <w:rFonts w:ascii="Times New Roman" w:hAnsi="Times New Roman"/>
                <w:sz w:val="15"/>
                <w:szCs w:val="13"/>
                <w:highlight w:val="none"/>
              </w:rPr>
            </w:pPr>
          </w:p>
        </w:tc>
        <w:tc>
          <w:tcPr>
            <w:tcW w:w="440" w:type="dxa"/>
            <w:vAlign w:val="center"/>
          </w:tcPr>
          <w:p w14:paraId="64A10E88">
            <w:pPr>
              <w:jc w:val="center"/>
              <w:rPr>
                <w:rFonts w:ascii="Times New Roman" w:hAnsi="Times New Roman"/>
                <w:sz w:val="15"/>
                <w:szCs w:val="13"/>
                <w:highlight w:val="none"/>
              </w:rPr>
            </w:pPr>
          </w:p>
        </w:tc>
        <w:tc>
          <w:tcPr>
            <w:tcW w:w="880" w:type="dxa"/>
            <w:vAlign w:val="center"/>
          </w:tcPr>
          <w:p w14:paraId="645C7EC9">
            <w:pPr>
              <w:jc w:val="center"/>
              <w:rPr>
                <w:rFonts w:ascii="Times New Roman" w:hAnsi="Times New Roman"/>
                <w:sz w:val="15"/>
                <w:szCs w:val="13"/>
                <w:highlight w:val="none"/>
              </w:rPr>
            </w:pPr>
          </w:p>
        </w:tc>
        <w:tc>
          <w:tcPr>
            <w:tcW w:w="510" w:type="dxa"/>
            <w:vAlign w:val="center"/>
          </w:tcPr>
          <w:p w14:paraId="7CDF986C">
            <w:pPr>
              <w:jc w:val="center"/>
              <w:rPr>
                <w:rFonts w:ascii="Times New Roman" w:hAnsi="Times New Roman"/>
                <w:sz w:val="15"/>
                <w:szCs w:val="13"/>
                <w:highlight w:val="none"/>
              </w:rPr>
            </w:pPr>
          </w:p>
        </w:tc>
        <w:tc>
          <w:tcPr>
            <w:tcW w:w="716" w:type="dxa"/>
            <w:vAlign w:val="center"/>
          </w:tcPr>
          <w:p w14:paraId="558EDEF1">
            <w:pPr>
              <w:jc w:val="center"/>
              <w:rPr>
                <w:rFonts w:ascii="Times New Roman" w:hAnsi="Times New Roman"/>
                <w:sz w:val="15"/>
                <w:szCs w:val="13"/>
                <w:highlight w:val="none"/>
              </w:rPr>
            </w:pPr>
          </w:p>
        </w:tc>
        <w:tc>
          <w:tcPr>
            <w:tcW w:w="1080" w:type="dxa"/>
            <w:vAlign w:val="center"/>
          </w:tcPr>
          <w:p w14:paraId="2493BA09">
            <w:pPr>
              <w:jc w:val="center"/>
              <w:rPr>
                <w:rFonts w:ascii="Times New Roman" w:hAnsi="Times New Roman"/>
                <w:sz w:val="15"/>
                <w:szCs w:val="13"/>
                <w:highlight w:val="none"/>
              </w:rPr>
            </w:pPr>
          </w:p>
        </w:tc>
        <w:tc>
          <w:tcPr>
            <w:tcW w:w="648" w:type="dxa"/>
            <w:vMerge w:val="continue"/>
            <w:vAlign w:val="center"/>
          </w:tcPr>
          <w:p w14:paraId="0E0DC44F">
            <w:pPr>
              <w:jc w:val="center"/>
              <w:rPr>
                <w:rFonts w:ascii="Times New Roman" w:hAnsi="Times New Roman"/>
                <w:sz w:val="15"/>
                <w:szCs w:val="13"/>
                <w:highlight w:val="none"/>
              </w:rPr>
            </w:pPr>
          </w:p>
        </w:tc>
        <w:tc>
          <w:tcPr>
            <w:tcW w:w="876" w:type="dxa"/>
            <w:vMerge w:val="continue"/>
            <w:vAlign w:val="center"/>
          </w:tcPr>
          <w:p w14:paraId="112D1A51">
            <w:pPr>
              <w:jc w:val="center"/>
              <w:rPr>
                <w:rFonts w:ascii="Times New Roman" w:hAnsi="Times New Roman"/>
                <w:sz w:val="15"/>
                <w:szCs w:val="13"/>
                <w:highlight w:val="none"/>
              </w:rPr>
            </w:pPr>
          </w:p>
        </w:tc>
        <w:tc>
          <w:tcPr>
            <w:tcW w:w="724" w:type="dxa"/>
            <w:vMerge w:val="continue"/>
            <w:vAlign w:val="center"/>
          </w:tcPr>
          <w:p w14:paraId="2972FECE">
            <w:pPr>
              <w:jc w:val="center"/>
              <w:rPr>
                <w:rFonts w:ascii="Times New Roman" w:hAnsi="Times New Roman"/>
                <w:sz w:val="15"/>
                <w:szCs w:val="13"/>
                <w:highlight w:val="none"/>
              </w:rPr>
            </w:pPr>
          </w:p>
        </w:tc>
        <w:tc>
          <w:tcPr>
            <w:tcW w:w="390" w:type="dxa"/>
            <w:vMerge w:val="continue"/>
            <w:vAlign w:val="center"/>
          </w:tcPr>
          <w:p w14:paraId="0AF91C6D">
            <w:pPr>
              <w:jc w:val="center"/>
              <w:rPr>
                <w:rFonts w:ascii="Times New Roman" w:hAnsi="Times New Roman"/>
                <w:sz w:val="15"/>
                <w:szCs w:val="13"/>
                <w:highlight w:val="none"/>
              </w:rPr>
            </w:pPr>
          </w:p>
        </w:tc>
      </w:tr>
      <w:tr w14:paraId="0145B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14:paraId="2767DF53">
            <w:pPr>
              <w:jc w:val="center"/>
              <w:rPr>
                <w:rFonts w:ascii="Times New Roman" w:hAnsi="Times New Roman"/>
                <w:sz w:val="15"/>
                <w:szCs w:val="13"/>
                <w:highlight w:val="none"/>
              </w:rPr>
            </w:pPr>
          </w:p>
        </w:tc>
        <w:tc>
          <w:tcPr>
            <w:tcW w:w="0" w:type="auto"/>
            <w:vAlign w:val="center"/>
          </w:tcPr>
          <w:p w14:paraId="52099568">
            <w:pPr>
              <w:jc w:val="center"/>
              <w:rPr>
                <w:rFonts w:ascii="Times New Roman" w:hAnsi="Times New Roman"/>
                <w:sz w:val="15"/>
                <w:szCs w:val="13"/>
                <w:highlight w:val="none"/>
              </w:rPr>
            </w:pPr>
          </w:p>
        </w:tc>
        <w:tc>
          <w:tcPr>
            <w:tcW w:w="0" w:type="auto"/>
            <w:vAlign w:val="center"/>
          </w:tcPr>
          <w:p w14:paraId="4C8A5716">
            <w:pPr>
              <w:jc w:val="center"/>
              <w:rPr>
                <w:rFonts w:ascii="Times New Roman" w:hAnsi="Times New Roman"/>
                <w:sz w:val="15"/>
                <w:szCs w:val="13"/>
                <w:highlight w:val="none"/>
              </w:rPr>
            </w:pPr>
          </w:p>
        </w:tc>
        <w:tc>
          <w:tcPr>
            <w:tcW w:w="700" w:type="dxa"/>
            <w:vAlign w:val="center"/>
          </w:tcPr>
          <w:p w14:paraId="23C4B4DB">
            <w:pPr>
              <w:jc w:val="center"/>
              <w:rPr>
                <w:rFonts w:ascii="Times New Roman" w:hAnsi="Times New Roman"/>
                <w:sz w:val="15"/>
                <w:szCs w:val="13"/>
                <w:highlight w:val="none"/>
              </w:rPr>
            </w:pPr>
          </w:p>
        </w:tc>
        <w:tc>
          <w:tcPr>
            <w:tcW w:w="450" w:type="dxa"/>
            <w:vAlign w:val="center"/>
          </w:tcPr>
          <w:p w14:paraId="0D259597">
            <w:pPr>
              <w:spacing w:line="200" w:lineRule="exact"/>
              <w:ind w:left="-63" w:leftChars="-30" w:right="-63" w:rightChars="-30"/>
              <w:jc w:val="center"/>
              <w:rPr>
                <w:rFonts w:hint="default" w:ascii="Times New Roman" w:hAnsi="Times New Roman" w:cs="Times New Roman" w:eastAsiaTheme="minorEastAsia"/>
                <w:kern w:val="2"/>
                <w:sz w:val="15"/>
                <w:szCs w:val="15"/>
                <w:highlight w:val="none"/>
                <w:lang w:val="en-US" w:eastAsia="zh-CN" w:bidi="ar-SA"/>
              </w:rPr>
            </w:pPr>
            <w:r>
              <w:rPr>
                <w:rFonts w:hint="default" w:ascii="Times New Roman" w:hAnsi="Times New Roman" w:cs="Times New Roman" w:eastAsiaTheme="minorEastAsia"/>
                <w:sz w:val="15"/>
                <w:szCs w:val="15"/>
                <w:highlight w:val="none"/>
              </w:rPr>
              <w:t>下沉</w:t>
            </w:r>
          </w:p>
        </w:tc>
        <w:tc>
          <w:tcPr>
            <w:tcW w:w="450" w:type="dxa"/>
            <w:vAlign w:val="center"/>
          </w:tcPr>
          <w:p w14:paraId="64B11961">
            <w:pPr>
              <w:jc w:val="center"/>
              <w:rPr>
                <w:rFonts w:ascii="Times New Roman" w:hAnsi="Times New Roman"/>
                <w:sz w:val="15"/>
                <w:szCs w:val="13"/>
                <w:highlight w:val="none"/>
              </w:rPr>
            </w:pPr>
          </w:p>
        </w:tc>
        <w:tc>
          <w:tcPr>
            <w:tcW w:w="440" w:type="dxa"/>
            <w:vAlign w:val="center"/>
          </w:tcPr>
          <w:p w14:paraId="71355F9F">
            <w:pPr>
              <w:jc w:val="center"/>
              <w:rPr>
                <w:rFonts w:ascii="Times New Roman" w:hAnsi="Times New Roman"/>
                <w:sz w:val="15"/>
                <w:szCs w:val="13"/>
                <w:highlight w:val="none"/>
              </w:rPr>
            </w:pPr>
          </w:p>
        </w:tc>
        <w:tc>
          <w:tcPr>
            <w:tcW w:w="880" w:type="dxa"/>
            <w:vAlign w:val="center"/>
          </w:tcPr>
          <w:p w14:paraId="18863A2C">
            <w:pPr>
              <w:jc w:val="center"/>
              <w:rPr>
                <w:rFonts w:ascii="Times New Roman" w:hAnsi="Times New Roman"/>
                <w:sz w:val="15"/>
                <w:szCs w:val="13"/>
                <w:highlight w:val="none"/>
              </w:rPr>
            </w:pPr>
          </w:p>
        </w:tc>
        <w:tc>
          <w:tcPr>
            <w:tcW w:w="510" w:type="dxa"/>
            <w:vAlign w:val="center"/>
          </w:tcPr>
          <w:p w14:paraId="380E3A32">
            <w:pPr>
              <w:jc w:val="center"/>
              <w:rPr>
                <w:rFonts w:ascii="Times New Roman" w:hAnsi="Times New Roman"/>
                <w:sz w:val="15"/>
                <w:szCs w:val="13"/>
                <w:highlight w:val="none"/>
              </w:rPr>
            </w:pPr>
          </w:p>
        </w:tc>
        <w:tc>
          <w:tcPr>
            <w:tcW w:w="716" w:type="dxa"/>
            <w:vAlign w:val="center"/>
          </w:tcPr>
          <w:p w14:paraId="33157EB6">
            <w:pPr>
              <w:jc w:val="center"/>
              <w:rPr>
                <w:rFonts w:ascii="Times New Roman" w:hAnsi="Times New Roman"/>
                <w:sz w:val="15"/>
                <w:szCs w:val="13"/>
                <w:highlight w:val="none"/>
              </w:rPr>
            </w:pPr>
          </w:p>
        </w:tc>
        <w:tc>
          <w:tcPr>
            <w:tcW w:w="1080" w:type="dxa"/>
            <w:vAlign w:val="center"/>
          </w:tcPr>
          <w:p w14:paraId="30942203">
            <w:pPr>
              <w:jc w:val="center"/>
              <w:rPr>
                <w:rFonts w:ascii="Times New Roman" w:hAnsi="Times New Roman"/>
                <w:sz w:val="15"/>
                <w:szCs w:val="13"/>
                <w:highlight w:val="none"/>
              </w:rPr>
            </w:pPr>
          </w:p>
        </w:tc>
        <w:tc>
          <w:tcPr>
            <w:tcW w:w="648" w:type="dxa"/>
            <w:vMerge w:val="restart"/>
            <w:vAlign w:val="center"/>
          </w:tcPr>
          <w:p w14:paraId="5BB940BD">
            <w:pPr>
              <w:jc w:val="center"/>
              <w:rPr>
                <w:rFonts w:ascii="Times New Roman" w:hAnsi="Times New Roman"/>
                <w:sz w:val="15"/>
                <w:szCs w:val="13"/>
                <w:highlight w:val="none"/>
              </w:rPr>
            </w:pPr>
          </w:p>
        </w:tc>
        <w:tc>
          <w:tcPr>
            <w:tcW w:w="876" w:type="dxa"/>
            <w:vMerge w:val="restart"/>
            <w:vAlign w:val="center"/>
          </w:tcPr>
          <w:p w14:paraId="65CF9D92">
            <w:pPr>
              <w:jc w:val="center"/>
              <w:rPr>
                <w:rFonts w:ascii="Times New Roman" w:hAnsi="Times New Roman"/>
                <w:sz w:val="15"/>
                <w:szCs w:val="13"/>
                <w:highlight w:val="none"/>
              </w:rPr>
            </w:pPr>
          </w:p>
        </w:tc>
        <w:tc>
          <w:tcPr>
            <w:tcW w:w="724" w:type="dxa"/>
            <w:vMerge w:val="restart"/>
            <w:vAlign w:val="center"/>
          </w:tcPr>
          <w:p w14:paraId="438FFB96">
            <w:pPr>
              <w:jc w:val="center"/>
              <w:rPr>
                <w:rFonts w:ascii="Times New Roman" w:hAnsi="Times New Roman"/>
                <w:sz w:val="15"/>
                <w:szCs w:val="13"/>
                <w:highlight w:val="none"/>
              </w:rPr>
            </w:pPr>
          </w:p>
        </w:tc>
        <w:tc>
          <w:tcPr>
            <w:tcW w:w="390" w:type="dxa"/>
            <w:vMerge w:val="restart"/>
            <w:vAlign w:val="center"/>
          </w:tcPr>
          <w:p w14:paraId="6B9A20DB">
            <w:pPr>
              <w:jc w:val="center"/>
              <w:rPr>
                <w:rFonts w:ascii="Times New Roman" w:hAnsi="Times New Roman"/>
                <w:sz w:val="15"/>
                <w:szCs w:val="13"/>
                <w:highlight w:val="none"/>
              </w:rPr>
            </w:pPr>
          </w:p>
        </w:tc>
      </w:tr>
      <w:tr w14:paraId="0F703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14:paraId="2B08EEF1">
            <w:pPr>
              <w:jc w:val="center"/>
              <w:rPr>
                <w:rFonts w:ascii="Times New Roman" w:hAnsi="Times New Roman"/>
                <w:sz w:val="15"/>
                <w:szCs w:val="13"/>
                <w:highlight w:val="none"/>
              </w:rPr>
            </w:pPr>
          </w:p>
        </w:tc>
        <w:tc>
          <w:tcPr>
            <w:tcW w:w="0" w:type="auto"/>
            <w:vAlign w:val="center"/>
          </w:tcPr>
          <w:p w14:paraId="08F76E40">
            <w:pPr>
              <w:jc w:val="center"/>
              <w:rPr>
                <w:rFonts w:ascii="Times New Roman" w:hAnsi="Times New Roman"/>
                <w:sz w:val="15"/>
                <w:szCs w:val="13"/>
                <w:highlight w:val="none"/>
              </w:rPr>
            </w:pPr>
          </w:p>
        </w:tc>
        <w:tc>
          <w:tcPr>
            <w:tcW w:w="0" w:type="auto"/>
            <w:vAlign w:val="center"/>
          </w:tcPr>
          <w:p w14:paraId="3040FDAC">
            <w:pPr>
              <w:jc w:val="center"/>
              <w:rPr>
                <w:rFonts w:ascii="Times New Roman" w:hAnsi="Times New Roman"/>
                <w:sz w:val="15"/>
                <w:szCs w:val="13"/>
                <w:highlight w:val="none"/>
              </w:rPr>
            </w:pPr>
          </w:p>
        </w:tc>
        <w:tc>
          <w:tcPr>
            <w:tcW w:w="700" w:type="dxa"/>
            <w:vAlign w:val="center"/>
          </w:tcPr>
          <w:p w14:paraId="24989BDD">
            <w:pPr>
              <w:jc w:val="center"/>
              <w:rPr>
                <w:rFonts w:ascii="Times New Roman" w:hAnsi="Times New Roman"/>
                <w:sz w:val="15"/>
                <w:szCs w:val="13"/>
                <w:highlight w:val="none"/>
              </w:rPr>
            </w:pPr>
          </w:p>
        </w:tc>
        <w:tc>
          <w:tcPr>
            <w:tcW w:w="450" w:type="dxa"/>
            <w:vAlign w:val="center"/>
          </w:tcPr>
          <w:p w14:paraId="0BD9386B">
            <w:pPr>
              <w:spacing w:line="200" w:lineRule="exact"/>
              <w:ind w:left="-63" w:leftChars="-30" w:right="-63" w:rightChars="-30"/>
              <w:jc w:val="center"/>
              <w:rPr>
                <w:rFonts w:hint="default" w:ascii="Times New Roman" w:hAnsi="Times New Roman" w:cs="Times New Roman" w:eastAsiaTheme="minorEastAsia"/>
                <w:kern w:val="2"/>
                <w:sz w:val="15"/>
                <w:szCs w:val="15"/>
                <w:highlight w:val="none"/>
                <w:lang w:val="en-US" w:eastAsia="zh-CN" w:bidi="ar-SA"/>
              </w:rPr>
            </w:pPr>
            <w:r>
              <w:rPr>
                <w:rFonts w:hint="default" w:ascii="Times New Roman" w:hAnsi="Times New Roman" w:cs="Times New Roman" w:eastAsiaTheme="minorEastAsia"/>
                <w:sz w:val="15"/>
                <w:szCs w:val="15"/>
                <w:highlight w:val="none"/>
              </w:rPr>
              <w:t>提升</w:t>
            </w:r>
          </w:p>
        </w:tc>
        <w:tc>
          <w:tcPr>
            <w:tcW w:w="450" w:type="dxa"/>
            <w:vAlign w:val="center"/>
          </w:tcPr>
          <w:p w14:paraId="5227C094">
            <w:pPr>
              <w:jc w:val="center"/>
              <w:rPr>
                <w:rFonts w:ascii="Times New Roman" w:hAnsi="Times New Roman"/>
                <w:sz w:val="15"/>
                <w:szCs w:val="13"/>
                <w:highlight w:val="none"/>
              </w:rPr>
            </w:pPr>
          </w:p>
        </w:tc>
        <w:tc>
          <w:tcPr>
            <w:tcW w:w="440" w:type="dxa"/>
            <w:vAlign w:val="center"/>
          </w:tcPr>
          <w:p w14:paraId="43363767">
            <w:pPr>
              <w:jc w:val="center"/>
              <w:rPr>
                <w:rFonts w:ascii="Times New Roman" w:hAnsi="Times New Roman"/>
                <w:sz w:val="15"/>
                <w:szCs w:val="13"/>
                <w:highlight w:val="none"/>
              </w:rPr>
            </w:pPr>
          </w:p>
        </w:tc>
        <w:tc>
          <w:tcPr>
            <w:tcW w:w="880" w:type="dxa"/>
            <w:vAlign w:val="center"/>
          </w:tcPr>
          <w:p w14:paraId="5AF4CE73">
            <w:pPr>
              <w:jc w:val="center"/>
              <w:rPr>
                <w:rFonts w:ascii="Times New Roman" w:hAnsi="Times New Roman"/>
                <w:sz w:val="15"/>
                <w:szCs w:val="13"/>
                <w:highlight w:val="none"/>
              </w:rPr>
            </w:pPr>
          </w:p>
        </w:tc>
        <w:tc>
          <w:tcPr>
            <w:tcW w:w="510" w:type="dxa"/>
            <w:vAlign w:val="center"/>
          </w:tcPr>
          <w:p w14:paraId="75D72EC2">
            <w:pPr>
              <w:jc w:val="center"/>
              <w:rPr>
                <w:rFonts w:ascii="Times New Roman" w:hAnsi="Times New Roman"/>
                <w:sz w:val="15"/>
                <w:szCs w:val="13"/>
                <w:highlight w:val="none"/>
              </w:rPr>
            </w:pPr>
          </w:p>
        </w:tc>
        <w:tc>
          <w:tcPr>
            <w:tcW w:w="716" w:type="dxa"/>
            <w:vAlign w:val="center"/>
          </w:tcPr>
          <w:p w14:paraId="55E5FA0B">
            <w:pPr>
              <w:jc w:val="center"/>
              <w:rPr>
                <w:rFonts w:ascii="Times New Roman" w:hAnsi="Times New Roman"/>
                <w:sz w:val="15"/>
                <w:szCs w:val="13"/>
                <w:highlight w:val="none"/>
              </w:rPr>
            </w:pPr>
          </w:p>
        </w:tc>
        <w:tc>
          <w:tcPr>
            <w:tcW w:w="1080" w:type="dxa"/>
            <w:vAlign w:val="center"/>
          </w:tcPr>
          <w:p w14:paraId="6CAB46EB">
            <w:pPr>
              <w:jc w:val="center"/>
              <w:rPr>
                <w:rFonts w:ascii="Times New Roman" w:hAnsi="Times New Roman"/>
                <w:sz w:val="15"/>
                <w:szCs w:val="13"/>
                <w:highlight w:val="none"/>
              </w:rPr>
            </w:pPr>
          </w:p>
        </w:tc>
        <w:tc>
          <w:tcPr>
            <w:tcW w:w="648" w:type="dxa"/>
            <w:vMerge w:val="continue"/>
            <w:vAlign w:val="center"/>
          </w:tcPr>
          <w:p w14:paraId="427F49BD">
            <w:pPr>
              <w:jc w:val="center"/>
              <w:rPr>
                <w:rFonts w:ascii="Times New Roman" w:hAnsi="Times New Roman"/>
                <w:sz w:val="15"/>
                <w:szCs w:val="13"/>
                <w:highlight w:val="none"/>
              </w:rPr>
            </w:pPr>
          </w:p>
        </w:tc>
        <w:tc>
          <w:tcPr>
            <w:tcW w:w="876" w:type="dxa"/>
            <w:vMerge w:val="continue"/>
            <w:vAlign w:val="center"/>
          </w:tcPr>
          <w:p w14:paraId="31430CAA">
            <w:pPr>
              <w:jc w:val="center"/>
              <w:rPr>
                <w:rFonts w:ascii="Times New Roman" w:hAnsi="Times New Roman"/>
                <w:sz w:val="15"/>
                <w:szCs w:val="13"/>
                <w:highlight w:val="none"/>
              </w:rPr>
            </w:pPr>
          </w:p>
        </w:tc>
        <w:tc>
          <w:tcPr>
            <w:tcW w:w="724" w:type="dxa"/>
            <w:vMerge w:val="continue"/>
            <w:vAlign w:val="center"/>
          </w:tcPr>
          <w:p w14:paraId="2CED5401">
            <w:pPr>
              <w:jc w:val="center"/>
              <w:rPr>
                <w:rFonts w:ascii="Times New Roman" w:hAnsi="Times New Roman"/>
                <w:sz w:val="15"/>
                <w:szCs w:val="13"/>
                <w:highlight w:val="none"/>
              </w:rPr>
            </w:pPr>
          </w:p>
        </w:tc>
        <w:tc>
          <w:tcPr>
            <w:tcW w:w="390" w:type="dxa"/>
            <w:vMerge w:val="continue"/>
            <w:vAlign w:val="center"/>
          </w:tcPr>
          <w:p w14:paraId="22F0A67C">
            <w:pPr>
              <w:jc w:val="center"/>
              <w:rPr>
                <w:rFonts w:ascii="Times New Roman" w:hAnsi="Times New Roman"/>
                <w:sz w:val="15"/>
                <w:szCs w:val="13"/>
                <w:highlight w:val="none"/>
              </w:rPr>
            </w:pPr>
          </w:p>
        </w:tc>
      </w:tr>
    </w:tbl>
    <w:p w14:paraId="2AB5E646">
      <w:pPr>
        <w:jc w:val="center"/>
        <w:rPr>
          <w:rFonts w:hint="default" w:ascii="Times New Roman" w:hAnsi="Times New Roman"/>
          <w:b/>
          <w:sz w:val="20"/>
          <w:szCs w:val="20"/>
          <w:highlight w:val="none"/>
        </w:rPr>
      </w:pPr>
    </w:p>
    <w:p w14:paraId="7312869E">
      <w:pPr>
        <w:jc w:val="center"/>
        <w:rPr>
          <w:rFonts w:hint="default" w:ascii="Times New Roman" w:hAnsi="Times New Roman"/>
          <w:b/>
          <w:sz w:val="20"/>
          <w:szCs w:val="20"/>
          <w:highlight w:val="none"/>
        </w:rPr>
      </w:pPr>
      <w:r>
        <w:rPr>
          <w:rFonts w:hint="default" w:ascii="Times New Roman" w:hAnsi="Times New Roman"/>
          <w:b/>
          <w:sz w:val="20"/>
          <w:szCs w:val="20"/>
          <w:highlight w:val="none"/>
        </w:rPr>
        <w:t>表A</w:t>
      </w:r>
      <w:r>
        <w:rPr>
          <w:rFonts w:hint="default" w:ascii="Times New Roman" w:hAnsi="Times New Roman"/>
          <w:b/>
          <w:sz w:val="20"/>
          <w:szCs w:val="20"/>
          <w:highlight w:val="none"/>
          <w:lang w:val="en-US" w:eastAsia="zh-CN"/>
        </w:rPr>
        <w:t>.3 旋挖</w:t>
      </w:r>
      <w:r>
        <w:rPr>
          <w:rFonts w:hint="eastAsia" w:ascii="Times New Roman" w:hAnsi="Times New Roman"/>
          <w:b/>
          <w:sz w:val="20"/>
          <w:szCs w:val="20"/>
          <w:highlight w:val="none"/>
          <w:lang w:val="en-US" w:eastAsia="zh-CN"/>
        </w:rPr>
        <w:t>工艺</w:t>
      </w:r>
      <w:r>
        <w:rPr>
          <w:rFonts w:hint="default" w:ascii="Times New Roman" w:hAnsi="Times New Roman"/>
          <w:b/>
          <w:sz w:val="20"/>
          <w:szCs w:val="20"/>
          <w:highlight w:val="none"/>
        </w:rPr>
        <w:t>施工记录表</w:t>
      </w:r>
    </w:p>
    <w:p w14:paraId="4D9F5A94">
      <w:pPr>
        <w:rPr>
          <w:rFonts w:hint="default" w:ascii="Times New Roman" w:hAnsi="Times New Roman"/>
          <w:color w:val="000000" w:themeColor="text1"/>
          <w:sz w:val="15"/>
          <w:szCs w:val="13"/>
          <w:highlight w:val="none"/>
          <w14:textFill>
            <w14:solidFill>
              <w14:schemeClr w14:val="tx1"/>
            </w14:solidFill>
          </w14:textFill>
        </w:rPr>
      </w:pPr>
      <w:r>
        <w:rPr>
          <w:rFonts w:hint="default" w:ascii="Times New Roman" w:hAnsi="Times New Roman"/>
          <w:sz w:val="15"/>
          <w:szCs w:val="13"/>
          <w:highlight w:val="none"/>
        </w:rPr>
        <w:t xml:space="preserve">工程名称：                                    </w:t>
      </w:r>
      <w:r>
        <w:rPr>
          <w:rFonts w:hint="default" w:ascii="Times New Roman" w:hAnsi="Times New Roman"/>
          <w:color w:val="000000" w:themeColor="text1"/>
          <w:sz w:val="15"/>
          <w:szCs w:val="13"/>
          <w:highlight w:val="none"/>
          <w14:textFill>
            <w14:solidFill>
              <w14:schemeClr w14:val="tx1"/>
            </w14:solidFill>
          </w14:textFill>
        </w:rPr>
        <w:t xml:space="preserve">施工单位： </w:t>
      </w:r>
      <w:r>
        <w:rPr>
          <w:rFonts w:ascii="Times New Roman" w:hAnsi="Times New Roman"/>
          <w:color w:val="000000" w:themeColor="text1"/>
          <w:sz w:val="15"/>
          <w:szCs w:val="13"/>
          <w:highlight w:val="none"/>
          <w14:textFill>
            <w14:solidFill>
              <w14:schemeClr w14:val="tx1"/>
            </w14:solidFill>
          </w14:textFill>
        </w:rPr>
        <w:t xml:space="preserve">    </w:t>
      </w:r>
      <w:r>
        <w:rPr>
          <w:rFonts w:hint="default" w:ascii="Times New Roman" w:hAnsi="Times New Roman"/>
          <w:color w:val="000000" w:themeColor="text1"/>
          <w:sz w:val="15"/>
          <w:szCs w:val="13"/>
          <w:highlight w:val="none"/>
          <w:lang w:val="en-US" w:eastAsia="zh-CN"/>
          <w14:textFill>
            <w14:solidFill>
              <w14:schemeClr w14:val="tx1"/>
            </w14:solidFill>
          </w14:textFill>
        </w:rPr>
        <w:t xml:space="preserve">     </w:t>
      </w:r>
      <w:r>
        <w:rPr>
          <w:rFonts w:hint="default" w:ascii="Times New Roman" w:hAnsi="Times New Roman"/>
          <w:color w:val="000000" w:themeColor="text1"/>
          <w:sz w:val="15"/>
          <w:szCs w:val="13"/>
          <w:highlight w:val="none"/>
          <w14:textFill>
            <w14:solidFill>
              <w14:schemeClr w14:val="tx1"/>
            </w14:solidFill>
          </w14:textFill>
        </w:rPr>
        <w:t>记录：</w:t>
      </w:r>
    </w:p>
    <w:p w14:paraId="0B60B104">
      <w:pPr>
        <w:rPr>
          <w:rFonts w:ascii="Times New Roman" w:hAnsi="Times New Roman"/>
          <w:sz w:val="20"/>
          <w:szCs w:val="18"/>
          <w:highlight w:val="none"/>
        </w:rPr>
      </w:pPr>
      <w:r>
        <w:rPr>
          <w:rFonts w:hint="default" w:ascii="Times New Roman" w:hAnsi="Times New Roman"/>
          <w:color w:val="000000" w:themeColor="text1"/>
          <w:sz w:val="15"/>
          <w:szCs w:val="13"/>
          <w:highlight w:val="none"/>
          <w14:textFill>
            <w14:solidFill>
              <w14:schemeClr w14:val="tx1"/>
            </w14:solidFill>
          </w14:textFill>
        </w:rPr>
        <w:t>设计桩顶标高：         设计桩底标高：         钻机类型：          编号：</w:t>
      </w:r>
    </w:p>
    <w:tbl>
      <w:tblPr>
        <w:tblStyle w:val="4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523"/>
        <w:gridCol w:w="523"/>
        <w:gridCol w:w="901"/>
        <w:gridCol w:w="677"/>
        <w:gridCol w:w="729"/>
        <w:gridCol w:w="1090"/>
        <w:gridCol w:w="934"/>
        <w:gridCol w:w="622"/>
        <w:gridCol w:w="587"/>
        <w:gridCol w:w="701"/>
        <w:gridCol w:w="831"/>
        <w:gridCol w:w="526"/>
      </w:tblGrid>
      <w:tr w14:paraId="06C03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vMerge w:val="restart"/>
            <w:vAlign w:val="center"/>
          </w:tcPr>
          <w:p w14:paraId="31B8E17C">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序号</w:t>
            </w:r>
          </w:p>
        </w:tc>
        <w:tc>
          <w:tcPr>
            <w:tcW w:w="285" w:type="pct"/>
            <w:vMerge w:val="restart"/>
            <w:vAlign w:val="center"/>
          </w:tcPr>
          <w:p w14:paraId="643EAA98">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桩号</w:t>
            </w:r>
          </w:p>
        </w:tc>
        <w:tc>
          <w:tcPr>
            <w:tcW w:w="285" w:type="pct"/>
            <w:vMerge w:val="restart"/>
            <w:vAlign w:val="center"/>
          </w:tcPr>
          <w:p w14:paraId="1960B40B">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日期</w:t>
            </w:r>
          </w:p>
        </w:tc>
        <w:tc>
          <w:tcPr>
            <w:tcW w:w="491" w:type="pct"/>
            <w:vMerge w:val="restart"/>
            <w:vAlign w:val="center"/>
          </w:tcPr>
          <w:p w14:paraId="41DBABBB">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地面</w:t>
            </w:r>
          </w:p>
          <w:p w14:paraId="073D40B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标高（m）</w:t>
            </w:r>
          </w:p>
        </w:tc>
        <w:tc>
          <w:tcPr>
            <w:tcW w:w="1360" w:type="pct"/>
            <w:gridSpan w:val="3"/>
            <w:vAlign w:val="center"/>
          </w:tcPr>
          <w:p w14:paraId="050C51F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时间</w:t>
            </w:r>
          </w:p>
        </w:tc>
        <w:tc>
          <w:tcPr>
            <w:tcW w:w="509" w:type="pct"/>
            <w:vMerge w:val="restart"/>
            <w:vAlign w:val="center"/>
          </w:tcPr>
          <w:p w14:paraId="5936D169">
            <w:pPr>
              <w:spacing w:line="200" w:lineRule="exact"/>
              <w:ind w:left="-63" w:leftChars="-30" w:right="-63" w:rightChars="-30"/>
              <w:jc w:val="center"/>
              <w:rPr>
                <w:rFonts w:hint="eastAsia" w:ascii="Times New Roman" w:hAnsi="Times New Roman" w:cs="Times New Roman" w:eastAsiaTheme="minorEastAsia"/>
                <w:sz w:val="15"/>
                <w:szCs w:val="15"/>
                <w:highlight w:val="none"/>
                <w:lang w:eastAsia="zh-CN"/>
              </w:rPr>
            </w:pPr>
            <w:r>
              <w:rPr>
                <w:rFonts w:hint="default" w:ascii="Times New Roman" w:hAnsi="Times New Roman" w:cs="Times New Roman" w:eastAsiaTheme="minorEastAsia"/>
                <w:sz w:val="15"/>
                <w:szCs w:val="15"/>
                <w:highlight w:val="none"/>
              </w:rPr>
              <w:t>桩</w:t>
            </w:r>
            <w:r>
              <w:rPr>
                <w:rFonts w:hint="eastAsia" w:ascii="Times New Roman" w:hAnsi="Times New Roman" w:cs="Times New Roman" w:eastAsiaTheme="minorEastAsia"/>
                <w:sz w:val="15"/>
                <w:szCs w:val="15"/>
                <w:highlight w:val="none"/>
                <w:lang w:val="en-US" w:eastAsia="zh-CN"/>
              </w:rPr>
              <w:t>长（m）</w:t>
            </w:r>
          </w:p>
        </w:tc>
        <w:tc>
          <w:tcPr>
            <w:tcW w:w="1041" w:type="pct"/>
            <w:gridSpan w:val="3"/>
            <w:vAlign w:val="center"/>
          </w:tcPr>
          <w:p w14:paraId="7C3FADE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钻进（m）</w:t>
            </w:r>
          </w:p>
        </w:tc>
        <w:tc>
          <w:tcPr>
            <w:tcW w:w="452" w:type="pct"/>
            <w:vMerge w:val="restart"/>
            <w:vAlign w:val="center"/>
          </w:tcPr>
          <w:p w14:paraId="5B88732F">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地质情况</w:t>
            </w:r>
          </w:p>
        </w:tc>
        <w:tc>
          <w:tcPr>
            <w:tcW w:w="286" w:type="pct"/>
            <w:vMerge w:val="restart"/>
            <w:vAlign w:val="center"/>
          </w:tcPr>
          <w:p w14:paraId="4A7E972E">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备注</w:t>
            </w:r>
          </w:p>
        </w:tc>
      </w:tr>
      <w:tr w14:paraId="1F3EA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285" w:type="pct"/>
            <w:vMerge w:val="continue"/>
            <w:vAlign w:val="center"/>
          </w:tcPr>
          <w:p w14:paraId="2FCA9550">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85" w:type="pct"/>
            <w:vMerge w:val="continue"/>
            <w:vAlign w:val="center"/>
          </w:tcPr>
          <w:p w14:paraId="202058D3">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85" w:type="pct"/>
            <w:vMerge w:val="continue"/>
            <w:vAlign w:val="center"/>
          </w:tcPr>
          <w:p w14:paraId="0957D458">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491" w:type="pct"/>
            <w:vMerge w:val="continue"/>
            <w:vAlign w:val="center"/>
          </w:tcPr>
          <w:p w14:paraId="644614A9">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69" w:type="pct"/>
            <w:vAlign w:val="center"/>
          </w:tcPr>
          <w:p w14:paraId="44B8EEA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起</w:t>
            </w:r>
          </w:p>
        </w:tc>
        <w:tc>
          <w:tcPr>
            <w:tcW w:w="397" w:type="pct"/>
            <w:vAlign w:val="center"/>
          </w:tcPr>
          <w:p w14:paraId="7CFAC8AE">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止</w:t>
            </w:r>
          </w:p>
        </w:tc>
        <w:tc>
          <w:tcPr>
            <w:tcW w:w="593" w:type="pct"/>
            <w:vAlign w:val="center"/>
          </w:tcPr>
          <w:p w14:paraId="732C07EA">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累计（min）</w:t>
            </w:r>
          </w:p>
        </w:tc>
        <w:tc>
          <w:tcPr>
            <w:tcW w:w="509" w:type="pct"/>
            <w:vMerge w:val="continue"/>
            <w:vAlign w:val="center"/>
          </w:tcPr>
          <w:p w14:paraId="5A701C16">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39" w:type="pct"/>
            <w:vAlign w:val="center"/>
          </w:tcPr>
          <w:p w14:paraId="5F6DCCEC">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起</w:t>
            </w:r>
          </w:p>
        </w:tc>
        <w:tc>
          <w:tcPr>
            <w:tcW w:w="320" w:type="pct"/>
            <w:vAlign w:val="center"/>
          </w:tcPr>
          <w:p w14:paraId="7905D97F">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止</w:t>
            </w:r>
          </w:p>
        </w:tc>
        <w:tc>
          <w:tcPr>
            <w:tcW w:w="381" w:type="pct"/>
            <w:vAlign w:val="center"/>
          </w:tcPr>
          <w:p w14:paraId="3368E703">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层厚</w:t>
            </w:r>
          </w:p>
        </w:tc>
        <w:tc>
          <w:tcPr>
            <w:tcW w:w="452" w:type="pct"/>
            <w:vMerge w:val="continue"/>
            <w:vAlign w:val="center"/>
          </w:tcPr>
          <w:p w14:paraId="696255FB">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86" w:type="pct"/>
            <w:vMerge w:val="continue"/>
            <w:vAlign w:val="center"/>
          </w:tcPr>
          <w:p w14:paraId="1B72DE4B">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r>
      <w:tr w14:paraId="3A77E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285" w:type="pct"/>
            <w:vAlign w:val="center"/>
          </w:tcPr>
          <w:p w14:paraId="5396BBC9">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85" w:type="pct"/>
            <w:vAlign w:val="center"/>
          </w:tcPr>
          <w:p w14:paraId="3178A0D1">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85" w:type="pct"/>
            <w:vAlign w:val="center"/>
          </w:tcPr>
          <w:p w14:paraId="5425797E">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491" w:type="pct"/>
            <w:vAlign w:val="center"/>
          </w:tcPr>
          <w:p w14:paraId="502FA498">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69" w:type="pct"/>
            <w:vAlign w:val="center"/>
          </w:tcPr>
          <w:p w14:paraId="7C0A1707">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97" w:type="pct"/>
            <w:vAlign w:val="center"/>
          </w:tcPr>
          <w:p w14:paraId="6DE89C6C">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593" w:type="pct"/>
            <w:vAlign w:val="center"/>
          </w:tcPr>
          <w:p w14:paraId="0A63F2FB">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509" w:type="pct"/>
            <w:vAlign w:val="center"/>
          </w:tcPr>
          <w:p w14:paraId="58F877DF">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39" w:type="pct"/>
            <w:vAlign w:val="center"/>
          </w:tcPr>
          <w:p w14:paraId="6B67EB02">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20" w:type="pct"/>
            <w:vAlign w:val="center"/>
          </w:tcPr>
          <w:p w14:paraId="2D2B747A">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81" w:type="pct"/>
            <w:vAlign w:val="center"/>
          </w:tcPr>
          <w:p w14:paraId="1DE09DA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452" w:type="pct"/>
            <w:vAlign w:val="center"/>
          </w:tcPr>
          <w:p w14:paraId="35279232">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86" w:type="pct"/>
            <w:vAlign w:val="center"/>
          </w:tcPr>
          <w:p w14:paraId="65EA365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r>
      <w:tr w14:paraId="4B1FD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vAlign w:val="center"/>
          </w:tcPr>
          <w:p w14:paraId="674EADE6">
            <w:pPr>
              <w:jc w:val="center"/>
              <w:rPr>
                <w:rFonts w:ascii="Times New Roman" w:hAnsi="Times New Roman"/>
                <w:sz w:val="15"/>
                <w:szCs w:val="13"/>
                <w:highlight w:val="none"/>
              </w:rPr>
            </w:pPr>
          </w:p>
        </w:tc>
        <w:tc>
          <w:tcPr>
            <w:tcW w:w="285" w:type="pct"/>
            <w:vAlign w:val="center"/>
          </w:tcPr>
          <w:p w14:paraId="3D8DFBBB">
            <w:pPr>
              <w:jc w:val="center"/>
              <w:rPr>
                <w:rFonts w:ascii="Times New Roman" w:hAnsi="Times New Roman"/>
                <w:sz w:val="15"/>
                <w:szCs w:val="13"/>
                <w:highlight w:val="none"/>
              </w:rPr>
            </w:pPr>
          </w:p>
        </w:tc>
        <w:tc>
          <w:tcPr>
            <w:tcW w:w="285" w:type="pct"/>
            <w:vAlign w:val="center"/>
          </w:tcPr>
          <w:p w14:paraId="1BE6A342">
            <w:pPr>
              <w:jc w:val="center"/>
              <w:rPr>
                <w:rFonts w:ascii="Times New Roman" w:hAnsi="Times New Roman"/>
                <w:sz w:val="15"/>
                <w:szCs w:val="13"/>
                <w:highlight w:val="none"/>
              </w:rPr>
            </w:pPr>
          </w:p>
        </w:tc>
        <w:tc>
          <w:tcPr>
            <w:tcW w:w="491" w:type="pct"/>
            <w:vAlign w:val="center"/>
          </w:tcPr>
          <w:p w14:paraId="116D69F6">
            <w:pPr>
              <w:jc w:val="center"/>
              <w:rPr>
                <w:rFonts w:ascii="Times New Roman" w:hAnsi="Times New Roman"/>
                <w:sz w:val="15"/>
                <w:szCs w:val="13"/>
                <w:highlight w:val="none"/>
              </w:rPr>
            </w:pPr>
          </w:p>
        </w:tc>
        <w:tc>
          <w:tcPr>
            <w:tcW w:w="369" w:type="pct"/>
            <w:vAlign w:val="center"/>
          </w:tcPr>
          <w:p w14:paraId="7D187A59">
            <w:pPr>
              <w:jc w:val="center"/>
              <w:rPr>
                <w:rFonts w:ascii="Times New Roman" w:hAnsi="Times New Roman"/>
                <w:sz w:val="15"/>
                <w:szCs w:val="13"/>
                <w:highlight w:val="none"/>
              </w:rPr>
            </w:pPr>
          </w:p>
        </w:tc>
        <w:tc>
          <w:tcPr>
            <w:tcW w:w="397" w:type="pct"/>
            <w:vAlign w:val="center"/>
          </w:tcPr>
          <w:p w14:paraId="6A51AFF9">
            <w:pPr>
              <w:jc w:val="center"/>
              <w:rPr>
                <w:rFonts w:ascii="Times New Roman" w:hAnsi="Times New Roman"/>
                <w:sz w:val="15"/>
                <w:szCs w:val="13"/>
                <w:highlight w:val="none"/>
              </w:rPr>
            </w:pPr>
          </w:p>
        </w:tc>
        <w:tc>
          <w:tcPr>
            <w:tcW w:w="593" w:type="pct"/>
            <w:vAlign w:val="center"/>
          </w:tcPr>
          <w:p w14:paraId="732D7003">
            <w:pPr>
              <w:jc w:val="center"/>
              <w:rPr>
                <w:rFonts w:ascii="Times New Roman" w:hAnsi="Times New Roman"/>
                <w:sz w:val="15"/>
                <w:szCs w:val="13"/>
                <w:highlight w:val="none"/>
              </w:rPr>
            </w:pPr>
          </w:p>
        </w:tc>
        <w:tc>
          <w:tcPr>
            <w:tcW w:w="509" w:type="pct"/>
            <w:vAlign w:val="center"/>
          </w:tcPr>
          <w:p w14:paraId="41003C72">
            <w:pPr>
              <w:jc w:val="center"/>
              <w:rPr>
                <w:rFonts w:ascii="Times New Roman" w:hAnsi="Times New Roman"/>
                <w:sz w:val="15"/>
                <w:szCs w:val="13"/>
                <w:highlight w:val="none"/>
              </w:rPr>
            </w:pPr>
          </w:p>
        </w:tc>
        <w:tc>
          <w:tcPr>
            <w:tcW w:w="339" w:type="pct"/>
            <w:vAlign w:val="center"/>
          </w:tcPr>
          <w:p w14:paraId="3D77DF92">
            <w:pPr>
              <w:jc w:val="center"/>
              <w:rPr>
                <w:rFonts w:ascii="Times New Roman" w:hAnsi="Times New Roman"/>
                <w:sz w:val="15"/>
                <w:szCs w:val="13"/>
                <w:highlight w:val="none"/>
              </w:rPr>
            </w:pPr>
          </w:p>
        </w:tc>
        <w:tc>
          <w:tcPr>
            <w:tcW w:w="320" w:type="pct"/>
            <w:vAlign w:val="center"/>
          </w:tcPr>
          <w:p w14:paraId="6E19C254">
            <w:pPr>
              <w:jc w:val="center"/>
              <w:rPr>
                <w:rFonts w:ascii="Times New Roman" w:hAnsi="Times New Roman"/>
                <w:sz w:val="15"/>
                <w:szCs w:val="13"/>
                <w:highlight w:val="none"/>
              </w:rPr>
            </w:pPr>
          </w:p>
        </w:tc>
        <w:tc>
          <w:tcPr>
            <w:tcW w:w="381" w:type="pct"/>
            <w:vAlign w:val="center"/>
          </w:tcPr>
          <w:p w14:paraId="17F26923">
            <w:pPr>
              <w:jc w:val="center"/>
              <w:rPr>
                <w:rFonts w:ascii="Times New Roman" w:hAnsi="Times New Roman"/>
                <w:sz w:val="15"/>
                <w:szCs w:val="13"/>
                <w:highlight w:val="none"/>
              </w:rPr>
            </w:pPr>
          </w:p>
        </w:tc>
        <w:tc>
          <w:tcPr>
            <w:tcW w:w="452" w:type="pct"/>
            <w:vAlign w:val="center"/>
          </w:tcPr>
          <w:p w14:paraId="3D69B57B">
            <w:pPr>
              <w:jc w:val="center"/>
              <w:rPr>
                <w:rFonts w:ascii="Times New Roman" w:hAnsi="Times New Roman"/>
                <w:sz w:val="15"/>
                <w:szCs w:val="13"/>
                <w:highlight w:val="none"/>
              </w:rPr>
            </w:pPr>
          </w:p>
        </w:tc>
        <w:tc>
          <w:tcPr>
            <w:tcW w:w="286" w:type="pct"/>
            <w:vAlign w:val="center"/>
          </w:tcPr>
          <w:p w14:paraId="782DD6A6">
            <w:pPr>
              <w:jc w:val="center"/>
              <w:rPr>
                <w:rFonts w:ascii="Times New Roman" w:hAnsi="Times New Roman"/>
                <w:sz w:val="15"/>
                <w:szCs w:val="13"/>
                <w:highlight w:val="none"/>
              </w:rPr>
            </w:pPr>
          </w:p>
        </w:tc>
      </w:tr>
      <w:tr w14:paraId="79EA5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vAlign w:val="center"/>
          </w:tcPr>
          <w:p w14:paraId="309783F5">
            <w:pPr>
              <w:jc w:val="center"/>
              <w:rPr>
                <w:rFonts w:ascii="Times New Roman" w:hAnsi="Times New Roman"/>
                <w:sz w:val="15"/>
                <w:szCs w:val="13"/>
                <w:highlight w:val="none"/>
              </w:rPr>
            </w:pPr>
          </w:p>
        </w:tc>
        <w:tc>
          <w:tcPr>
            <w:tcW w:w="285" w:type="pct"/>
            <w:vAlign w:val="center"/>
          </w:tcPr>
          <w:p w14:paraId="15AFA9CD">
            <w:pPr>
              <w:jc w:val="center"/>
              <w:rPr>
                <w:rFonts w:ascii="Times New Roman" w:hAnsi="Times New Roman"/>
                <w:sz w:val="15"/>
                <w:szCs w:val="13"/>
                <w:highlight w:val="none"/>
              </w:rPr>
            </w:pPr>
          </w:p>
        </w:tc>
        <w:tc>
          <w:tcPr>
            <w:tcW w:w="285" w:type="pct"/>
            <w:vAlign w:val="center"/>
          </w:tcPr>
          <w:p w14:paraId="21B81AE3">
            <w:pPr>
              <w:jc w:val="center"/>
              <w:rPr>
                <w:rFonts w:ascii="Times New Roman" w:hAnsi="Times New Roman"/>
                <w:sz w:val="15"/>
                <w:szCs w:val="13"/>
                <w:highlight w:val="none"/>
              </w:rPr>
            </w:pPr>
          </w:p>
        </w:tc>
        <w:tc>
          <w:tcPr>
            <w:tcW w:w="491" w:type="pct"/>
            <w:vAlign w:val="center"/>
          </w:tcPr>
          <w:p w14:paraId="36A4C321">
            <w:pPr>
              <w:jc w:val="center"/>
              <w:rPr>
                <w:rFonts w:ascii="Times New Roman" w:hAnsi="Times New Roman"/>
                <w:sz w:val="15"/>
                <w:szCs w:val="13"/>
                <w:highlight w:val="none"/>
              </w:rPr>
            </w:pPr>
          </w:p>
        </w:tc>
        <w:tc>
          <w:tcPr>
            <w:tcW w:w="369" w:type="pct"/>
            <w:vAlign w:val="center"/>
          </w:tcPr>
          <w:p w14:paraId="574ADCF6">
            <w:pPr>
              <w:jc w:val="center"/>
              <w:rPr>
                <w:rFonts w:ascii="Times New Roman" w:hAnsi="Times New Roman"/>
                <w:sz w:val="15"/>
                <w:szCs w:val="13"/>
                <w:highlight w:val="none"/>
              </w:rPr>
            </w:pPr>
          </w:p>
        </w:tc>
        <w:tc>
          <w:tcPr>
            <w:tcW w:w="397" w:type="pct"/>
            <w:vAlign w:val="center"/>
          </w:tcPr>
          <w:p w14:paraId="27198610">
            <w:pPr>
              <w:jc w:val="center"/>
              <w:rPr>
                <w:rFonts w:ascii="Times New Roman" w:hAnsi="Times New Roman"/>
                <w:sz w:val="15"/>
                <w:szCs w:val="13"/>
                <w:highlight w:val="none"/>
              </w:rPr>
            </w:pPr>
          </w:p>
        </w:tc>
        <w:tc>
          <w:tcPr>
            <w:tcW w:w="593" w:type="pct"/>
            <w:vAlign w:val="center"/>
          </w:tcPr>
          <w:p w14:paraId="6FBE207C">
            <w:pPr>
              <w:jc w:val="center"/>
              <w:rPr>
                <w:rFonts w:ascii="Times New Roman" w:hAnsi="Times New Roman"/>
                <w:sz w:val="15"/>
                <w:szCs w:val="13"/>
                <w:highlight w:val="none"/>
              </w:rPr>
            </w:pPr>
          </w:p>
        </w:tc>
        <w:tc>
          <w:tcPr>
            <w:tcW w:w="509" w:type="pct"/>
            <w:vAlign w:val="center"/>
          </w:tcPr>
          <w:p w14:paraId="374A0D6B">
            <w:pPr>
              <w:jc w:val="center"/>
              <w:rPr>
                <w:rFonts w:ascii="Times New Roman" w:hAnsi="Times New Roman"/>
                <w:sz w:val="15"/>
                <w:szCs w:val="13"/>
                <w:highlight w:val="none"/>
              </w:rPr>
            </w:pPr>
          </w:p>
        </w:tc>
        <w:tc>
          <w:tcPr>
            <w:tcW w:w="339" w:type="pct"/>
            <w:vAlign w:val="center"/>
          </w:tcPr>
          <w:p w14:paraId="365FACEB">
            <w:pPr>
              <w:jc w:val="center"/>
              <w:rPr>
                <w:rFonts w:ascii="Times New Roman" w:hAnsi="Times New Roman"/>
                <w:sz w:val="15"/>
                <w:szCs w:val="13"/>
                <w:highlight w:val="none"/>
              </w:rPr>
            </w:pPr>
          </w:p>
        </w:tc>
        <w:tc>
          <w:tcPr>
            <w:tcW w:w="320" w:type="pct"/>
            <w:vAlign w:val="center"/>
          </w:tcPr>
          <w:p w14:paraId="57EF3AAB">
            <w:pPr>
              <w:jc w:val="center"/>
              <w:rPr>
                <w:rFonts w:ascii="Times New Roman" w:hAnsi="Times New Roman"/>
                <w:sz w:val="15"/>
                <w:szCs w:val="13"/>
                <w:highlight w:val="none"/>
              </w:rPr>
            </w:pPr>
          </w:p>
        </w:tc>
        <w:tc>
          <w:tcPr>
            <w:tcW w:w="381" w:type="pct"/>
            <w:vAlign w:val="center"/>
          </w:tcPr>
          <w:p w14:paraId="390873C2">
            <w:pPr>
              <w:jc w:val="center"/>
              <w:rPr>
                <w:rFonts w:ascii="Times New Roman" w:hAnsi="Times New Roman"/>
                <w:sz w:val="15"/>
                <w:szCs w:val="13"/>
                <w:highlight w:val="none"/>
              </w:rPr>
            </w:pPr>
          </w:p>
        </w:tc>
        <w:tc>
          <w:tcPr>
            <w:tcW w:w="452" w:type="pct"/>
            <w:vAlign w:val="center"/>
          </w:tcPr>
          <w:p w14:paraId="010CA3FA">
            <w:pPr>
              <w:jc w:val="center"/>
              <w:rPr>
                <w:rFonts w:ascii="Times New Roman" w:hAnsi="Times New Roman"/>
                <w:sz w:val="15"/>
                <w:szCs w:val="13"/>
                <w:highlight w:val="none"/>
              </w:rPr>
            </w:pPr>
          </w:p>
        </w:tc>
        <w:tc>
          <w:tcPr>
            <w:tcW w:w="286" w:type="pct"/>
            <w:vAlign w:val="center"/>
          </w:tcPr>
          <w:p w14:paraId="5F4723B0">
            <w:pPr>
              <w:jc w:val="center"/>
              <w:rPr>
                <w:rFonts w:ascii="Times New Roman" w:hAnsi="Times New Roman"/>
                <w:sz w:val="15"/>
                <w:szCs w:val="13"/>
                <w:highlight w:val="none"/>
              </w:rPr>
            </w:pPr>
          </w:p>
        </w:tc>
      </w:tr>
      <w:tr w14:paraId="19312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vAlign w:val="center"/>
          </w:tcPr>
          <w:p w14:paraId="3AC7281B">
            <w:pPr>
              <w:jc w:val="center"/>
              <w:rPr>
                <w:rFonts w:ascii="Times New Roman" w:hAnsi="Times New Roman"/>
                <w:sz w:val="15"/>
                <w:szCs w:val="13"/>
                <w:highlight w:val="none"/>
              </w:rPr>
            </w:pPr>
          </w:p>
        </w:tc>
        <w:tc>
          <w:tcPr>
            <w:tcW w:w="285" w:type="pct"/>
            <w:vAlign w:val="center"/>
          </w:tcPr>
          <w:p w14:paraId="429705A0">
            <w:pPr>
              <w:jc w:val="center"/>
              <w:rPr>
                <w:rFonts w:ascii="Times New Roman" w:hAnsi="Times New Roman"/>
                <w:sz w:val="15"/>
                <w:szCs w:val="13"/>
                <w:highlight w:val="none"/>
              </w:rPr>
            </w:pPr>
          </w:p>
        </w:tc>
        <w:tc>
          <w:tcPr>
            <w:tcW w:w="285" w:type="pct"/>
            <w:vAlign w:val="center"/>
          </w:tcPr>
          <w:p w14:paraId="2D796879">
            <w:pPr>
              <w:jc w:val="center"/>
              <w:rPr>
                <w:rFonts w:ascii="Times New Roman" w:hAnsi="Times New Roman"/>
                <w:sz w:val="15"/>
                <w:szCs w:val="13"/>
                <w:highlight w:val="none"/>
              </w:rPr>
            </w:pPr>
          </w:p>
        </w:tc>
        <w:tc>
          <w:tcPr>
            <w:tcW w:w="491" w:type="pct"/>
            <w:vAlign w:val="center"/>
          </w:tcPr>
          <w:p w14:paraId="666C492A">
            <w:pPr>
              <w:jc w:val="center"/>
              <w:rPr>
                <w:rFonts w:ascii="Times New Roman" w:hAnsi="Times New Roman"/>
                <w:sz w:val="15"/>
                <w:szCs w:val="13"/>
                <w:highlight w:val="none"/>
              </w:rPr>
            </w:pPr>
          </w:p>
        </w:tc>
        <w:tc>
          <w:tcPr>
            <w:tcW w:w="369" w:type="pct"/>
            <w:vAlign w:val="center"/>
          </w:tcPr>
          <w:p w14:paraId="31AE6303">
            <w:pPr>
              <w:jc w:val="center"/>
              <w:rPr>
                <w:rFonts w:ascii="Times New Roman" w:hAnsi="Times New Roman"/>
                <w:sz w:val="15"/>
                <w:szCs w:val="13"/>
                <w:highlight w:val="none"/>
              </w:rPr>
            </w:pPr>
          </w:p>
        </w:tc>
        <w:tc>
          <w:tcPr>
            <w:tcW w:w="397" w:type="pct"/>
            <w:vAlign w:val="center"/>
          </w:tcPr>
          <w:p w14:paraId="220C4259">
            <w:pPr>
              <w:jc w:val="center"/>
              <w:rPr>
                <w:rFonts w:ascii="Times New Roman" w:hAnsi="Times New Roman"/>
                <w:sz w:val="15"/>
                <w:szCs w:val="13"/>
                <w:highlight w:val="none"/>
              </w:rPr>
            </w:pPr>
          </w:p>
        </w:tc>
        <w:tc>
          <w:tcPr>
            <w:tcW w:w="593" w:type="pct"/>
            <w:vAlign w:val="center"/>
          </w:tcPr>
          <w:p w14:paraId="1A55C0CD">
            <w:pPr>
              <w:jc w:val="center"/>
              <w:rPr>
                <w:rFonts w:ascii="Times New Roman" w:hAnsi="Times New Roman"/>
                <w:sz w:val="15"/>
                <w:szCs w:val="13"/>
                <w:highlight w:val="none"/>
              </w:rPr>
            </w:pPr>
          </w:p>
        </w:tc>
        <w:tc>
          <w:tcPr>
            <w:tcW w:w="509" w:type="pct"/>
            <w:vAlign w:val="center"/>
          </w:tcPr>
          <w:p w14:paraId="06DAB586">
            <w:pPr>
              <w:jc w:val="center"/>
              <w:rPr>
                <w:rFonts w:ascii="Times New Roman" w:hAnsi="Times New Roman"/>
                <w:sz w:val="15"/>
                <w:szCs w:val="13"/>
                <w:highlight w:val="none"/>
              </w:rPr>
            </w:pPr>
          </w:p>
        </w:tc>
        <w:tc>
          <w:tcPr>
            <w:tcW w:w="339" w:type="pct"/>
            <w:vAlign w:val="center"/>
          </w:tcPr>
          <w:p w14:paraId="091A6D63">
            <w:pPr>
              <w:jc w:val="center"/>
              <w:rPr>
                <w:rFonts w:ascii="Times New Roman" w:hAnsi="Times New Roman"/>
                <w:sz w:val="15"/>
                <w:szCs w:val="13"/>
                <w:highlight w:val="none"/>
              </w:rPr>
            </w:pPr>
          </w:p>
        </w:tc>
        <w:tc>
          <w:tcPr>
            <w:tcW w:w="320" w:type="pct"/>
            <w:vAlign w:val="center"/>
          </w:tcPr>
          <w:p w14:paraId="72FBE54D">
            <w:pPr>
              <w:jc w:val="center"/>
              <w:rPr>
                <w:rFonts w:ascii="Times New Roman" w:hAnsi="Times New Roman"/>
                <w:sz w:val="15"/>
                <w:szCs w:val="13"/>
                <w:highlight w:val="none"/>
              </w:rPr>
            </w:pPr>
          </w:p>
        </w:tc>
        <w:tc>
          <w:tcPr>
            <w:tcW w:w="381" w:type="pct"/>
            <w:vAlign w:val="center"/>
          </w:tcPr>
          <w:p w14:paraId="69E57205">
            <w:pPr>
              <w:jc w:val="center"/>
              <w:rPr>
                <w:rFonts w:ascii="Times New Roman" w:hAnsi="Times New Roman"/>
                <w:sz w:val="15"/>
                <w:szCs w:val="13"/>
                <w:highlight w:val="none"/>
              </w:rPr>
            </w:pPr>
          </w:p>
        </w:tc>
        <w:tc>
          <w:tcPr>
            <w:tcW w:w="452" w:type="pct"/>
            <w:vAlign w:val="center"/>
          </w:tcPr>
          <w:p w14:paraId="23C1D4E8">
            <w:pPr>
              <w:jc w:val="center"/>
              <w:rPr>
                <w:rFonts w:ascii="Times New Roman" w:hAnsi="Times New Roman"/>
                <w:sz w:val="15"/>
                <w:szCs w:val="13"/>
                <w:highlight w:val="none"/>
              </w:rPr>
            </w:pPr>
          </w:p>
        </w:tc>
        <w:tc>
          <w:tcPr>
            <w:tcW w:w="286" w:type="pct"/>
            <w:vAlign w:val="center"/>
          </w:tcPr>
          <w:p w14:paraId="55B3417B">
            <w:pPr>
              <w:jc w:val="center"/>
              <w:rPr>
                <w:rFonts w:ascii="Times New Roman" w:hAnsi="Times New Roman"/>
                <w:sz w:val="15"/>
                <w:szCs w:val="13"/>
                <w:highlight w:val="none"/>
              </w:rPr>
            </w:pPr>
          </w:p>
        </w:tc>
      </w:tr>
      <w:tr w14:paraId="0B8EF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285" w:type="pct"/>
            <w:vAlign w:val="center"/>
          </w:tcPr>
          <w:p w14:paraId="19E7AE1F">
            <w:pPr>
              <w:jc w:val="center"/>
              <w:rPr>
                <w:rFonts w:ascii="Times New Roman" w:hAnsi="Times New Roman"/>
                <w:sz w:val="15"/>
                <w:szCs w:val="13"/>
                <w:highlight w:val="none"/>
              </w:rPr>
            </w:pPr>
          </w:p>
        </w:tc>
        <w:tc>
          <w:tcPr>
            <w:tcW w:w="285" w:type="pct"/>
            <w:vAlign w:val="center"/>
          </w:tcPr>
          <w:p w14:paraId="53971F61">
            <w:pPr>
              <w:jc w:val="center"/>
              <w:rPr>
                <w:rFonts w:ascii="Times New Roman" w:hAnsi="Times New Roman"/>
                <w:sz w:val="15"/>
                <w:szCs w:val="13"/>
                <w:highlight w:val="none"/>
              </w:rPr>
            </w:pPr>
          </w:p>
        </w:tc>
        <w:tc>
          <w:tcPr>
            <w:tcW w:w="285" w:type="pct"/>
            <w:vAlign w:val="center"/>
          </w:tcPr>
          <w:p w14:paraId="5B7FF3FE">
            <w:pPr>
              <w:jc w:val="center"/>
              <w:rPr>
                <w:rFonts w:ascii="Times New Roman" w:hAnsi="Times New Roman"/>
                <w:sz w:val="15"/>
                <w:szCs w:val="13"/>
                <w:highlight w:val="none"/>
              </w:rPr>
            </w:pPr>
          </w:p>
        </w:tc>
        <w:tc>
          <w:tcPr>
            <w:tcW w:w="491" w:type="pct"/>
            <w:vAlign w:val="center"/>
          </w:tcPr>
          <w:p w14:paraId="7A1A41F1">
            <w:pPr>
              <w:jc w:val="center"/>
              <w:rPr>
                <w:rFonts w:ascii="Times New Roman" w:hAnsi="Times New Roman"/>
                <w:sz w:val="15"/>
                <w:szCs w:val="13"/>
                <w:highlight w:val="none"/>
              </w:rPr>
            </w:pPr>
          </w:p>
        </w:tc>
        <w:tc>
          <w:tcPr>
            <w:tcW w:w="369" w:type="pct"/>
            <w:vAlign w:val="center"/>
          </w:tcPr>
          <w:p w14:paraId="4B6DD952">
            <w:pPr>
              <w:jc w:val="center"/>
              <w:rPr>
                <w:rFonts w:ascii="Times New Roman" w:hAnsi="Times New Roman"/>
                <w:sz w:val="15"/>
                <w:szCs w:val="13"/>
                <w:highlight w:val="none"/>
              </w:rPr>
            </w:pPr>
          </w:p>
        </w:tc>
        <w:tc>
          <w:tcPr>
            <w:tcW w:w="397" w:type="pct"/>
            <w:vAlign w:val="center"/>
          </w:tcPr>
          <w:p w14:paraId="68935A70">
            <w:pPr>
              <w:jc w:val="center"/>
              <w:rPr>
                <w:rFonts w:ascii="Times New Roman" w:hAnsi="Times New Roman"/>
                <w:sz w:val="15"/>
                <w:szCs w:val="13"/>
                <w:highlight w:val="none"/>
              </w:rPr>
            </w:pPr>
          </w:p>
        </w:tc>
        <w:tc>
          <w:tcPr>
            <w:tcW w:w="593" w:type="pct"/>
            <w:vAlign w:val="center"/>
          </w:tcPr>
          <w:p w14:paraId="517E4983">
            <w:pPr>
              <w:jc w:val="center"/>
              <w:rPr>
                <w:rFonts w:ascii="Times New Roman" w:hAnsi="Times New Roman"/>
                <w:sz w:val="15"/>
                <w:szCs w:val="13"/>
                <w:highlight w:val="none"/>
              </w:rPr>
            </w:pPr>
          </w:p>
        </w:tc>
        <w:tc>
          <w:tcPr>
            <w:tcW w:w="509" w:type="pct"/>
            <w:vAlign w:val="center"/>
          </w:tcPr>
          <w:p w14:paraId="1337E4EC">
            <w:pPr>
              <w:jc w:val="center"/>
              <w:rPr>
                <w:rFonts w:ascii="Times New Roman" w:hAnsi="Times New Roman"/>
                <w:sz w:val="15"/>
                <w:szCs w:val="13"/>
                <w:highlight w:val="none"/>
              </w:rPr>
            </w:pPr>
          </w:p>
        </w:tc>
        <w:tc>
          <w:tcPr>
            <w:tcW w:w="339" w:type="pct"/>
            <w:vAlign w:val="center"/>
          </w:tcPr>
          <w:p w14:paraId="5A264275">
            <w:pPr>
              <w:jc w:val="center"/>
              <w:rPr>
                <w:rFonts w:ascii="Times New Roman" w:hAnsi="Times New Roman"/>
                <w:sz w:val="15"/>
                <w:szCs w:val="13"/>
                <w:highlight w:val="none"/>
              </w:rPr>
            </w:pPr>
          </w:p>
        </w:tc>
        <w:tc>
          <w:tcPr>
            <w:tcW w:w="320" w:type="pct"/>
            <w:vAlign w:val="center"/>
          </w:tcPr>
          <w:p w14:paraId="6975B4AA">
            <w:pPr>
              <w:jc w:val="center"/>
              <w:rPr>
                <w:rFonts w:ascii="Times New Roman" w:hAnsi="Times New Roman"/>
                <w:sz w:val="15"/>
                <w:szCs w:val="13"/>
                <w:highlight w:val="none"/>
              </w:rPr>
            </w:pPr>
          </w:p>
        </w:tc>
        <w:tc>
          <w:tcPr>
            <w:tcW w:w="381" w:type="pct"/>
            <w:vAlign w:val="center"/>
          </w:tcPr>
          <w:p w14:paraId="052163EB">
            <w:pPr>
              <w:jc w:val="center"/>
              <w:rPr>
                <w:rFonts w:ascii="Times New Roman" w:hAnsi="Times New Roman"/>
                <w:sz w:val="15"/>
                <w:szCs w:val="13"/>
                <w:highlight w:val="none"/>
              </w:rPr>
            </w:pPr>
          </w:p>
        </w:tc>
        <w:tc>
          <w:tcPr>
            <w:tcW w:w="452" w:type="pct"/>
            <w:vAlign w:val="center"/>
          </w:tcPr>
          <w:p w14:paraId="12925EA3">
            <w:pPr>
              <w:jc w:val="center"/>
              <w:rPr>
                <w:rFonts w:ascii="Times New Roman" w:hAnsi="Times New Roman"/>
                <w:sz w:val="15"/>
                <w:szCs w:val="13"/>
                <w:highlight w:val="none"/>
              </w:rPr>
            </w:pPr>
          </w:p>
        </w:tc>
        <w:tc>
          <w:tcPr>
            <w:tcW w:w="286" w:type="pct"/>
            <w:vAlign w:val="center"/>
          </w:tcPr>
          <w:p w14:paraId="7ED9D363">
            <w:pPr>
              <w:jc w:val="center"/>
              <w:rPr>
                <w:rFonts w:ascii="Times New Roman" w:hAnsi="Times New Roman"/>
                <w:sz w:val="15"/>
                <w:szCs w:val="13"/>
                <w:highlight w:val="none"/>
              </w:rPr>
            </w:pPr>
          </w:p>
        </w:tc>
      </w:tr>
      <w:tr w14:paraId="07D3F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285" w:type="pct"/>
            <w:vAlign w:val="center"/>
          </w:tcPr>
          <w:p w14:paraId="2040B786">
            <w:pPr>
              <w:jc w:val="center"/>
              <w:rPr>
                <w:rFonts w:ascii="Times New Roman" w:hAnsi="Times New Roman"/>
                <w:sz w:val="15"/>
                <w:szCs w:val="13"/>
                <w:highlight w:val="none"/>
              </w:rPr>
            </w:pPr>
          </w:p>
        </w:tc>
        <w:tc>
          <w:tcPr>
            <w:tcW w:w="285" w:type="pct"/>
            <w:vAlign w:val="center"/>
          </w:tcPr>
          <w:p w14:paraId="7ACCB803">
            <w:pPr>
              <w:jc w:val="center"/>
              <w:rPr>
                <w:rFonts w:ascii="Times New Roman" w:hAnsi="Times New Roman"/>
                <w:sz w:val="15"/>
                <w:szCs w:val="13"/>
                <w:highlight w:val="none"/>
              </w:rPr>
            </w:pPr>
          </w:p>
        </w:tc>
        <w:tc>
          <w:tcPr>
            <w:tcW w:w="285" w:type="pct"/>
            <w:vAlign w:val="center"/>
          </w:tcPr>
          <w:p w14:paraId="3CB3C431">
            <w:pPr>
              <w:jc w:val="center"/>
              <w:rPr>
                <w:rFonts w:ascii="Times New Roman" w:hAnsi="Times New Roman"/>
                <w:sz w:val="15"/>
                <w:szCs w:val="13"/>
                <w:highlight w:val="none"/>
              </w:rPr>
            </w:pPr>
          </w:p>
        </w:tc>
        <w:tc>
          <w:tcPr>
            <w:tcW w:w="491" w:type="pct"/>
            <w:vAlign w:val="center"/>
          </w:tcPr>
          <w:p w14:paraId="5DCF70A9">
            <w:pPr>
              <w:jc w:val="center"/>
              <w:rPr>
                <w:rFonts w:ascii="Times New Roman" w:hAnsi="Times New Roman"/>
                <w:sz w:val="15"/>
                <w:szCs w:val="13"/>
                <w:highlight w:val="none"/>
              </w:rPr>
            </w:pPr>
          </w:p>
        </w:tc>
        <w:tc>
          <w:tcPr>
            <w:tcW w:w="369" w:type="pct"/>
            <w:vAlign w:val="center"/>
          </w:tcPr>
          <w:p w14:paraId="13D26B46">
            <w:pPr>
              <w:jc w:val="center"/>
              <w:rPr>
                <w:rFonts w:ascii="Times New Roman" w:hAnsi="Times New Roman"/>
                <w:sz w:val="15"/>
                <w:szCs w:val="13"/>
                <w:highlight w:val="none"/>
              </w:rPr>
            </w:pPr>
          </w:p>
        </w:tc>
        <w:tc>
          <w:tcPr>
            <w:tcW w:w="397" w:type="pct"/>
            <w:vAlign w:val="center"/>
          </w:tcPr>
          <w:p w14:paraId="6CD10150">
            <w:pPr>
              <w:jc w:val="center"/>
              <w:rPr>
                <w:rFonts w:ascii="Times New Roman" w:hAnsi="Times New Roman"/>
                <w:sz w:val="15"/>
                <w:szCs w:val="13"/>
                <w:highlight w:val="none"/>
              </w:rPr>
            </w:pPr>
          </w:p>
        </w:tc>
        <w:tc>
          <w:tcPr>
            <w:tcW w:w="593" w:type="pct"/>
            <w:vAlign w:val="center"/>
          </w:tcPr>
          <w:p w14:paraId="4165529A">
            <w:pPr>
              <w:jc w:val="center"/>
              <w:rPr>
                <w:rFonts w:ascii="Times New Roman" w:hAnsi="Times New Roman"/>
                <w:sz w:val="15"/>
                <w:szCs w:val="13"/>
                <w:highlight w:val="none"/>
              </w:rPr>
            </w:pPr>
          </w:p>
        </w:tc>
        <w:tc>
          <w:tcPr>
            <w:tcW w:w="509" w:type="pct"/>
            <w:vAlign w:val="center"/>
          </w:tcPr>
          <w:p w14:paraId="1E405ED9">
            <w:pPr>
              <w:jc w:val="center"/>
              <w:rPr>
                <w:rFonts w:ascii="Times New Roman" w:hAnsi="Times New Roman"/>
                <w:sz w:val="15"/>
                <w:szCs w:val="13"/>
                <w:highlight w:val="none"/>
              </w:rPr>
            </w:pPr>
          </w:p>
        </w:tc>
        <w:tc>
          <w:tcPr>
            <w:tcW w:w="339" w:type="pct"/>
            <w:vAlign w:val="center"/>
          </w:tcPr>
          <w:p w14:paraId="3235D689">
            <w:pPr>
              <w:jc w:val="center"/>
              <w:rPr>
                <w:rFonts w:ascii="Times New Roman" w:hAnsi="Times New Roman"/>
                <w:sz w:val="15"/>
                <w:szCs w:val="13"/>
                <w:highlight w:val="none"/>
              </w:rPr>
            </w:pPr>
          </w:p>
        </w:tc>
        <w:tc>
          <w:tcPr>
            <w:tcW w:w="320" w:type="pct"/>
            <w:vAlign w:val="center"/>
          </w:tcPr>
          <w:p w14:paraId="7ACCF515">
            <w:pPr>
              <w:jc w:val="center"/>
              <w:rPr>
                <w:rFonts w:ascii="Times New Roman" w:hAnsi="Times New Roman"/>
                <w:sz w:val="15"/>
                <w:szCs w:val="13"/>
                <w:highlight w:val="none"/>
              </w:rPr>
            </w:pPr>
          </w:p>
        </w:tc>
        <w:tc>
          <w:tcPr>
            <w:tcW w:w="381" w:type="pct"/>
            <w:vAlign w:val="center"/>
          </w:tcPr>
          <w:p w14:paraId="48387B2D">
            <w:pPr>
              <w:jc w:val="center"/>
              <w:rPr>
                <w:rFonts w:ascii="Times New Roman" w:hAnsi="Times New Roman"/>
                <w:sz w:val="15"/>
                <w:szCs w:val="13"/>
                <w:highlight w:val="none"/>
              </w:rPr>
            </w:pPr>
          </w:p>
        </w:tc>
        <w:tc>
          <w:tcPr>
            <w:tcW w:w="452" w:type="pct"/>
            <w:vAlign w:val="center"/>
          </w:tcPr>
          <w:p w14:paraId="51BF9C8A">
            <w:pPr>
              <w:jc w:val="center"/>
              <w:rPr>
                <w:rFonts w:ascii="Times New Roman" w:hAnsi="Times New Roman"/>
                <w:sz w:val="15"/>
                <w:szCs w:val="13"/>
                <w:highlight w:val="none"/>
              </w:rPr>
            </w:pPr>
          </w:p>
        </w:tc>
        <w:tc>
          <w:tcPr>
            <w:tcW w:w="286" w:type="pct"/>
            <w:vAlign w:val="center"/>
          </w:tcPr>
          <w:p w14:paraId="67593139">
            <w:pPr>
              <w:jc w:val="center"/>
              <w:rPr>
                <w:rFonts w:ascii="Times New Roman" w:hAnsi="Times New Roman"/>
                <w:sz w:val="15"/>
                <w:szCs w:val="13"/>
                <w:highlight w:val="none"/>
              </w:rPr>
            </w:pPr>
          </w:p>
        </w:tc>
      </w:tr>
      <w:tr w14:paraId="53E04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285" w:type="pct"/>
            <w:vAlign w:val="center"/>
          </w:tcPr>
          <w:p w14:paraId="1D4A2604">
            <w:pPr>
              <w:jc w:val="center"/>
              <w:rPr>
                <w:rFonts w:ascii="Times New Roman" w:hAnsi="Times New Roman"/>
                <w:sz w:val="15"/>
                <w:szCs w:val="13"/>
                <w:highlight w:val="none"/>
              </w:rPr>
            </w:pPr>
          </w:p>
        </w:tc>
        <w:tc>
          <w:tcPr>
            <w:tcW w:w="285" w:type="pct"/>
            <w:vAlign w:val="center"/>
          </w:tcPr>
          <w:p w14:paraId="1292FB83">
            <w:pPr>
              <w:jc w:val="center"/>
              <w:rPr>
                <w:rFonts w:ascii="Times New Roman" w:hAnsi="Times New Roman"/>
                <w:sz w:val="15"/>
                <w:szCs w:val="13"/>
                <w:highlight w:val="none"/>
              </w:rPr>
            </w:pPr>
          </w:p>
        </w:tc>
        <w:tc>
          <w:tcPr>
            <w:tcW w:w="285" w:type="pct"/>
            <w:vAlign w:val="center"/>
          </w:tcPr>
          <w:p w14:paraId="5DB3FCFD">
            <w:pPr>
              <w:jc w:val="center"/>
              <w:rPr>
                <w:rFonts w:ascii="Times New Roman" w:hAnsi="Times New Roman"/>
                <w:sz w:val="15"/>
                <w:szCs w:val="13"/>
                <w:highlight w:val="none"/>
              </w:rPr>
            </w:pPr>
          </w:p>
        </w:tc>
        <w:tc>
          <w:tcPr>
            <w:tcW w:w="491" w:type="pct"/>
            <w:vAlign w:val="center"/>
          </w:tcPr>
          <w:p w14:paraId="7750BCCC">
            <w:pPr>
              <w:jc w:val="center"/>
              <w:rPr>
                <w:rFonts w:ascii="Times New Roman" w:hAnsi="Times New Roman"/>
                <w:sz w:val="15"/>
                <w:szCs w:val="13"/>
                <w:highlight w:val="none"/>
              </w:rPr>
            </w:pPr>
          </w:p>
        </w:tc>
        <w:tc>
          <w:tcPr>
            <w:tcW w:w="369" w:type="pct"/>
            <w:vAlign w:val="center"/>
          </w:tcPr>
          <w:p w14:paraId="64AC648A">
            <w:pPr>
              <w:jc w:val="center"/>
              <w:rPr>
                <w:rFonts w:ascii="Times New Roman" w:hAnsi="Times New Roman"/>
                <w:sz w:val="15"/>
                <w:szCs w:val="13"/>
                <w:highlight w:val="none"/>
              </w:rPr>
            </w:pPr>
          </w:p>
        </w:tc>
        <w:tc>
          <w:tcPr>
            <w:tcW w:w="397" w:type="pct"/>
            <w:vAlign w:val="center"/>
          </w:tcPr>
          <w:p w14:paraId="3C50E98A">
            <w:pPr>
              <w:jc w:val="center"/>
              <w:rPr>
                <w:rFonts w:ascii="Times New Roman" w:hAnsi="Times New Roman"/>
                <w:sz w:val="15"/>
                <w:szCs w:val="13"/>
                <w:highlight w:val="none"/>
              </w:rPr>
            </w:pPr>
          </w:p>
        </w:tc>
        <w:tc>
          <w:tcPr>
            <w:tcW w:w="593" w:type="pct"/>
            <w:vAlign w:val="center"/>
          </w:tcPr>
          <w:p w14:paraId="007BDAF9">
            <w:pPr>
              <w:jc w:val="center"/>
              <w:rPr>
                <w:rFonts w:ascii="Times New Roman" w:hAnsi="Times New Roman"/>
                <w:sz w:val="15"/>
                <w:szCs w:val="13"/>
                <w:highlight w:val="none"/>
              </w:rPr>
            </w:pPr>
          </w:p>
        </w:tc>
        <w:tc>
          <w:tcPr>
            <w:tcW w:w="509" w:type="pct"/>
            <w:vAlign w:val="center"/>
          </w:tcPr>
          <w:p w14:paraId="6E5122E1">
            <w:pPr>
              <w:jc w:val="center"/>
              <w:rPr>
                <w:rFonts w:ascii="Times New Roman" w:hAnsi="Times New Roman"/>
                <w:sz w:val="15"/>
                <w:szCs w:val="13"/>
                <w:highlight w:val="none"/>
              </w:rPr>
            </w:pPr>
          </w:p>
        </w:tc>
        <w:tc>
          <w:tcPr>
            <w:tcW w:w="339" w:type="pct"/>
            <w:vAlign w:val="center"/>
          </w:tcPr>
          <w:p w14:paraId="336003A0">
            <w:pPr>
              <w:jc w:val="center"/>
              <w:rPr>
                <w:rFonts w:ascii="Times New Roman" w:hAnsi="Times New Roman"/>
                <w:sz w:val="15"/>
                <w:szCs w:val="13"/>
                <w:highlight w:val="none"/>
              </w:rPr>
            </w:pPr>
          </w:p>
        </w:tc>
        <w:tc>
          <w:tcPr>
            <w:tcW w:w="320" w:type="pct"/>
            <w:vAlign w:val="center"/>
          </w:tcPr>
          <w:p w14:paraId="5DD9DF49">
            <w:pPr>
              <w:jc w:val="center"/>
              <w:rPr>
                <w:rFonts w:ascii="Times New Roman" w:hAnsi="Times New Roman"/>
                <w:sz w:val="15"/>
                <w:szCs w:val="13"/>
                <w:highlight w:val="none"/>
              </w:rPr>
            </w:pPr>
          </w:p>
        </w:tc>
        <w:tc>
          <w:tcPr>
            <w:tcW w:w="381" w:type="pct"/>
            <w:vAlign w:val="center"/>
          </w:tcPr>
          <w:p w14:paraId="210825BD">
            <w:pPr>
              <w:jc w:val="center"/>
              <w:rPr>
                <w:rFonts w:ascii="Times New Roman" w:hAnsi="Times New Roman"/>
                <w:sz w:val="15"/>
                <w:szCs w:val="13"/>
                <w:highlight w:val="none"/>
              </w:rPr>
            </w:pPr>
          </w:p>
        </w:tc>
        <w:tc>
          <w:tcPr>
            <w:tcW w:w="452" w:type="pct"/>
            <w:vAlign w:val="center"/>
          </w:tcPr>
          <w:p w14:paraId="5D48ECD0">
            <w:pPr>
              <w:jc w:val="center"/>
              <w:rPr>
                <w:rFonts w:ascii="Times New Roman" w:hAnsi="Times New Roman"/>
                <w:sz w:val="15"/>
                <w:szCs w:val="13"/>
                <w:highlight w:val="none"/>
              </w:rPr>
            </w:pPr>
          </w:p>
        </w:tc>
        <w:tc>
          <w:tcPr>
            <w:tcW w:w="286" w:type="pct"/>
            <w:vAlign w:val="center"/>
          </w:tcPr>
          <w:p w14:paraId="5556CA03">
            <w:pPr>
              <w:jc w:val="center"/>
              <w:rPr>
                <w:rFonts w:ascii="Times New Roman" w:hAnsi="Times New Roman"/>
                <w:sz w:val="15"/>
                <w:szCs w:val="13"/>
                <w:highlight w:val="none"/>
              </w:rPr>
            </w:pPr>
          </w:p>
        </w:tc>
      </w:tr>
      <w:tr w14:paraId="7466F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285" w:type="pct"/>
            <w:vAlign w:val="center"/>
          </w:tcPr>
          <w:p w14:paraId="1A182E77">
            <w:pPr>
              <w:jc w:val="center"/>
              <w:rPr>
                <w:rFonts w:ascii="Times New Roman" w:hAnsi="Times New Roman"/>
                <w:sz w:val="15"/>
                <w:szCs w:val="13"/>
                <w:highlight w:val="none"/>
              </w:rPr>
            </w:pPr>
          </w:p>
        </w:tc>
        <w:tc>
          <w:tcPr>
            <w:tcW w:w="285" w:type="pct"/>
            <w:vAlign w:val="center"/>
          </w:tcPr>
          <w:p w14:paraId="666CF2E5">
            <w:pPr>
              <w:jc w:val="center"/>
              <w:rPr>
                <w:rFonts w:ascii="Times New Roman" w:hAnsi="Times New Roman"/>
                <w:sz w:val="15"/>
                <w:szCs w:val="13"/>
                <w:highlight w:val="none"/>
              </w:rPr>
            </w:pPr>
          </w:p>
        </w:tc>
        <w:tc>
          <w:tcPr>
            <w:tcW w:w="285" w:type="pct"/>
            <w:vAlign w:val="center"/>
          </w:tcPr>
          <w:p w14:paraId="0F0F06E9">
            <w:pPr>
              <w:jc w:val="center"/>
              <w:rPr>
                <w:rFonts w:ascii="Times New Roman" w:hAnsi="Times New Roman"/>
                <w:sz w:val="15"/>
                <w:szCs w:val="13"/>
                <w:highlight w:val="none"/>
              </w:rPr>
            </w:pPr>
          </w:p>
        </w:tc>
        <w:tc>
          <w:tcPr>
            <w:tcW w:w="491" w:type="pct"/>
            <w:vAlign w:val="center"/>
          </w:tcPr>
          <w:p w14:paraId="69193BEC">
            <w:pPr>
              <w:jc w:val="center"/>
              <w:rPr>
                <w:rFonts w:ascii="Times New Roman" w:hAnsi="Times New Roman"/>
                <w:sz w:val="15"/>
                <w:szCs w:val="13"/>
                <w:highlight w:val="none"/>
              </w:rPr>
            </w:pPr>
          </w:p>
        </w:tc>
        <w:tc>
          <w:tcPr>
            <w:tcW w:w="369" w:type="pct"/>
            <w:vAlign w:val="center"/>
          </w:tcPr>
          <w:p w14:paraId="19871D3A">
            <w:pPr>
              <w:jc w:val="center"/>
              <w:rPr>
                <w:rFonts w:ascii="Times New Roman" w:hAnsi="Times New Roman"/>
                <w:sz w:val="15"/>
                <w:szCs w:val="13"/>
                <w:highlight w:val="none"/>
              </w:rPr>
            </w:pPr>
          </w:p>
        </w:tc>
        <w:tc>
          <w:tcPr>
            <w:tcW w:w="397" w:type="pct"/>
            <w:vAlign w:val="center"/>
          </w:tcPr>
          <w:p w14:paraId="3713099A">
            <w:pPr>
              <w:jc w:val="center"/>
              <w:rPr>
                <w:rFonts w:ascii="Times New Roman" w:hAnsi="Times New Roman"/>
                <w:sz w:val="15"/>
                <w:szCs w:val="13"/>
                <w:highlight w:val="none"/>
              </w:rPr>
            </w:pPr>
          </w:p>
        </w:tc>
        <w:tc>
          <w:tcPr>
            <w:tcW w:w="593" w:type="pct"/>
            <w:vAlign w:val="center"/>
          </w:tcPr>
          <w:p w14:paraId="74E3B0DB">
            <w:pPr>
              <w:jc w:val="center"/>
              <w:rPr>
                <w:rFonts w:ascii="Times New Roman" w:hAnsi="Times New Roman"/>
                <w:sz w:val="15"/>
                <w:szCs w:val="13"/>
                <w:highlight w:val="none"/>
              </w:rPr>
            </w:pPr>
          </w:p>
        </w:tc>
        <w:tc>
          <w:tcPr>
            <w:tcW w:w="509" w:type="pct"/>
            <w:vAlign w:val="center"/>
          </w:tcPr>
          <w:p w14:paraId="48F4B057">
            <w:pPr>
              <w:jc w:val="center"/>
              <w:rPr>
                <w:rFonts w:ascii="Times New Roman" w:hAnsi="Times New Roman"/>
                <w:sz w:val="15"/>
                <w:szCs w:val="13"/>
                <w:highlight w:val="none"/>
              </w:rPr>
            </w:pPr>
          </w:p>
        </w:tc>
        <w:tc>
          <w:tcPr>
            <w:tcW w:w="339" w:type="pct"/>
            <w:vAlign w:val="center"/>
          </w:tcPr>
          <w:p w14:paraId="6A017FEA">
            <w:pPr>
              <w:jc w:val="center"/>
              <w:rPr>
                <w:rFonts w:ascii="Times New Roman" w:hAnsi="Times New Roman"/>
                <w:sz w:val="15"/>
                <w:szCs w:val="13"/>
                <w:highlight w:val="none"/>
              </w:rPr>
            </w:pPr>
          </w:p>
        </w:tc>
        <w:tc>
          <w:tcPr>
            <w:tcW w:w="320" w:type="pct"/>
            <w:vAlign w:val="center"/>
          </w:tcPr>
          <w:p w14:paraId="024F0496">
            <w:pPr>
              <w:jc w:val="center"/>
              <w:rPr>
                <w:rFonts w:ascii="Times New Roman" w:hAnsi="Times New Roman"/>
                <w:sz w:val="15"/>
                <w:szCs w:val="13"/>
                <w:highlight w:val="none"/>
              </w:rPr>
            </w:pPr>
          </w:p>
        </w:tc>
        <w:tc>
          <w:tcPr>
            <w:tcW w:w="381" w:type="pct"/>
            <w:vAlign w:val="center"/>
          </w:tcPr>
          <w:p w14:paraId="6E37D01D">
            <w:pPr>
              <w:jc w:val="center"/>
              <w:rPr>
                <w:rFonts w:ascii="Times New Roman" w:hAnsi="Times New Roman"/>
                <w:sz w:val="15"/>
                <w:szCs w:val="13"/>
                <w:highlight w:val="none"/>
              </w:rPr>
            </w:pPr>
          </w:p>
        </w:tc>
        <w:tc>
          <w:tcPr>
            <w:tcW w:w="452" w:type="pct"/>
            <w:vAlign w:val="center"/>
          </w:tcPr>
          <w:p w14:paraId="0512762D">
            <w:pPr>
              <w:jc w:val="center"/>
              <w:rPr>
                <w:rFonts w:ascii="Times New Roman" w:hAnsi="Times New Roman"/>
                <w:sz w:val="15"/>
                <w:szCs w:val="13"/>
                <w:highlight w:val="none"/>
              </w:rPr>
            </w:pPr>
          </w:p>
        </w:tc>
        <w:tc>
          <w:tcPr>
            <w:tcW w:w="286" w:type="pct"/>
            <w:vAlign w:val="center"/>
          </w:tcPr>
          <w:p w14:paraId="03C7A212">
            <w:pPr>
              <w:jc w:val="center"/>
              <w:rPr>
                <w:rFonts w:ascii="Times New Roman" w:hAnsi="Times New Roman"/>
                <w:sz w:val="15"/>
                <w:szCs w:val="13"/>
                <w:highlight w:val="none"/>
              </w:rPr>
            </w:pPr>
          </w:p>
        </w:tc>
      </w:tr>
      <w:tr w14:paraId="69B57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285" w:type="pct"/>
            <w:vAlign w:val="center"/>
          </w:tcPr>
          <w:p w14:paraId="1B1B0D2A">
            <w:pPr>
              <w:jc w:val="center"/>
              <w:rPr>
                <w:rFonts w:ascii="Times New Roman" w:hAnsi="Times New Roman"/>
                <w:sz w:val="15"/>
                <w:szCs w:val="13"/>
                <w:highlight w:val="none"/>
              </w:rPr>
            </w:pPr>
          </w:p>
        </w:tc>
        <w:tc>
          <w:tcPr>
            <w:tcW w:w="285" w:type="pct"/>
            <w:vAlign w:val="center"/>
          </w:tcPr>
          <w:p w14:paraId="798E6590">
            <w:pPr>
              <w:jc w:val="center"/>
              <w:rPr>
                <w:rFonts w:ascii="Times New Roman" w:hAnsi="Times New Roman"/>
                <w:sz w:val="15"/>
                <w:szCs w:val="13"/>
                <w:highlight w:val="none"/>
              </w:rPr>
            </w:pPr>
          </w:p>
        </w:tc>
        <w:tc>
          <w:tcPr>
            <w:tcW w:w="285" w:type="pct"/>
            <w:vAlign w:val="center"/>
          </w:tcPr>
          <w:p w14:paraId="2DFB8203">
            <w:pPr>
              <w:jc w:val="center"/>
              <w:rPr>
                <w:rFonts w:ascii="Times New Roman" w:hAnsi="Times New Roman"/>
                <w:sz w:val="15"/>
                <w:szCs w:val="13"/>
                <w:highlight w:val="none"/>
              </w:rPr>
            </w:pPr>
          </w:p>
        </w:tc>
        <w:tc>
          <w:tcPr>
            <w:tcW w:w="491" w:type="pct"/>
            <w:vAlign w:val="center"/>
          </w:tcPr>
          <w:p w14:paraId="20813B5E">
            <w:pPr>
              <w:jc w:val="center"/>
              <w:rPr>
                <w:rFonts w:ascii="Times New Roman" w:hAnsi="Times New Roman"/>
                <w:sz w:val="15"/>
                <w:szCs w:val="13"/>
                <w:highlight w:val="none"/>
              </w:rPr>
            </w:pPr>
          </w:p>
        </w:tc>
        <w:tc>
          <w:tcPr>
            <w:tcW w:w="369" w:type="pct"/>
            <w:vAlign w:val="center"/>
          </w:tcPr>
          <w:p w14:paraId="73D29005">
            <w:pPr>
              <w:jc w:val="center"/>
              <w:rPr>
                <w:rFonts w:ascii="Times New Roman" w:hAnsi="Times New Roman"/>
                <w:sz w:val="15"/>
                <w:szCs w:val="13"/>
                <w:highlight w:val="none"/>
              </w:rPr>
            </w:pPr>
          </w:p>
        </w:tc>
        <w:tc>
          <w:tcPr>
            <w:tcW w:w="397" w:type="pct"/>
            <w:vAlign w:val="center"/>
          </w:tcPr>
          <w:p w14:paraId="767AE5A8">
            <w:pPr>
              <w:jc w:val="center"/>
              <w:rPr>
                <w:rFonts w:ascii="Times New Roman" w:hAnsi="Times New Roman"/>
                <w:sz w:val="15"/>
                <w:szCs w:val="13"/>
                <w:highlight w:val="none"/>
              </w:rPr>
            </w:pPr>
          </w:p>
        </w:tc>
        <w:tc>
          <w:tcPr>
            <w:tcW w:w="593" w:type="pct"/>
            <w:vAlign w:val="center"/>
          </w:tcPr>
          <w:p w14:paraId="0DEC6275">
            <w:pPr>
              <w:jc w:val="center"/>
              <w:rPr>
                <w:rFonts w:ascii="Times New Roman" w:hAnsi="Times New Roman"/>
                <w:sz w:val="15"/>
                <w:szCs w:val="13"/>
                <w:highlight w:val="none"/>
              </w:rPr>
            </w:pPr>
          </w:p>
        </w:tc>
        <w:tc>
          <w:tcPr>
            <w:tcW w:w="509" w:type="pct"/>
            <w:vAlign w:val="center"/>
          </w:tcPr>
          <w:p w14:paraId="37930D8F">
            <w:pPr>
              <w:jc w:val="center"/>
              <w:rPr>
                <w:rFonts w:ascii="Times New Roman" w:hAnsi="Times New Roman"/>
                <w:sz w:val="15"/>
                <w:szCs w:val="13"/>
                <w:highlight w:val="none"/>
              </w:rPr>
            </w:pPr>
          </w:p>
        </w:tc>
        <w:tc>
          <w:tcPr>
            <w:tcW w:w="339" w:type="pct"/>
            <w:vAlign w:val="center"/>
          </w:tcPr>
          <w:p w14:paraId="2B876385">
            <w:pPr>
              <w:jc w:val="center"/>
              <w:rPr>
                <w:rFonts w:ascii="Times New Roman" w:hAnsi="Times New Roman"/>
                <w:sz w:val="15"/>
                <w:szCs w:val="13"/>
                <w:highlight w:val="none"/>
              </w:rPr>
            </w:pPr>
          </w:p>
        </w:tc>
        <w:tc>
          <w:tcPr>
            <w:tcW w:w="320" w:type="pct"/>
            <w:vAlign w:val="center"/>
          </w:tcPr>
          <w:p w14:paraId="7536F82C">
            <w:pPr>
              <w:jc w:val="center"/>
              <w:rPr>
                <w:rFonts w:ascii="Times New Roman" w:hAnsi="Times New Roman"/>
                <w:sz w:val="15"/>
                <w:szCs w:val="13"/>
                <w:highlight w:val="none"/>
              </w:rPr>
            </w:pPr>
          </w:p>
        </w:tc>
        <w:tc>
          <w:tcPr>
            <w:tcW w:w="381" w:type="pct"/>
            <w:vAlign w:val="center"/>
          </w:tcPr>
          <w:p w14:paraId="1DA17C33">
            <w:pPr>
              <w:jc w:val="center"/>
              <w:rPr>
                <w:rFonts w:ascii="Times New Roman" w:hAnsi="Times New Roman"/>
                <w:sz w:val="15"/>
                <w:szCs w:val="13"/>
                <w:highlight w:val="none"/>
              </w:rPr>
            </w:pPr>
          </w:p>
        </w:tc>
        <w:tc>
          <w:tcPr>
            <w:tcW w:w="452" w:type="pct"/>
            <w:vAlign w:val="center"/>
          </w:tcPr>
          <w:p w14:paraId="10F737E3">
            <w:pPr>
              <w:jc w:val="center"/>
              <w:rPr>
                <w:rFonts w:ascii="Times New Roman" w:hAnsi="Times New Roman"/>
                <w:sz w:val="15"/>
                <w:szCs w:val="13"/>
                <w:highlight w:val="none"/>
              </w:rPr>
            </w:pPr>
          </w:p>
        </w:tc>
        <w:tc>
          <w:tcPr>
            <w:tcW w:w="286" w:type="pct"/>
            <w:vAlign w:val="center"/>
          </w:tcPr>
          <w:p w14:paraId="70C541BA">
            <w:pPr>
              <w:jc w:val="center"/>
              <w:rPr>
                <w:rFonts w:ascii="Times New Roman" w:hAnsi="Times New Roman"/>
                <w:sz w:val="15"/>
                <w:szCs w:val="13"/>
                <w:highlight w:val="none"/>
              </w:rPr>
            </w:pPr>
          </w:p>
        </w:tc>
      </w:tr>
      <w:tr w14:paraId="3ABBF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trPr>
        <w:tc>
          <w:tcPr>
            <w:tcW w:w="285" w:type="pct"/>
            <w:vAlign w:val="center"/>
          </w:tcPr>
          <w:p w14:paraId="30EADA02">
            <w:pPr>
              <w:jc w:val="center"/>
              <w:rPr>
                <w:rFonts w:ascii="Times New Roman" w:hAnsi="Times New Roman"/>
                <w:sz w:val="15"/>
                <w:szCs w:val="13"/>
                <w:highlight w:val="none"/>
              </w:rPr>
            </w:pPr>
          </w:p>
        </w:tc>
        <w:tc>
          <w:tcPr>
            <w:tcW w:w="285" w:type="pct"/>
            <w:vAlign w:val="center"/>
          </w:tcPr>
          <w:p w14:paraId="3BCEAB91">
            <w:pPr>
              <w:jc w:val="center"/>
              <w:rPr>
                <w:rFonts w:ascii="Times New Roman" w:hAnsi="Times New Roman"/>
                <w:sz w:val="15"/>
                <w:szCs w:val="13"/>
                <w:highlight w:val="none"/>
              </w:rPr>
            </w:pPr>
          </w:p>
        </w:tc>
        <w:tc>
          <w:tcPr>
            <w:tcW w:w="285" w:type="pct"/>
            <w:vAlign w:val="center"/>
          </w:tcPr>
          <w:p w14:paraId="5CE14BBD">
            <w:pPr>
              <w:jc w:val="center"/>
              <w:rPr>
                <w:rFonts w:ascii="Times New Roman" w:hAnsi="Times New Roman"/>
                <w:sz w:val="15"/>
                <w:szCs w:val="13"/>
                <w:highlight w:val="none"/>
              </w:rPr>
            </w:pPr>
          </w:p>
        </w:tc>
        <w:tc>
          <w:tcPr>
            <w:tcW w:w="491" w:type="pct"/>
            <w:vAlign w:val="center"/>
          </w:tcPr>
          <w:p w14:paraId="2096CDFF">
            <w:pPr>
              <w:jc w:val="center"/>
              <w:rPr>
                <w:rFonts w:ascii="Times New Roman" w:hAnsi="Times New Roman"/>
                <w:sz w:val="15"/>
                <w:szCs w:val="13"/>
                <w:highlight w:val="none"/>
              </w:rPr>
            </w:pPr>
          </w:p>
        </w:tc>
        <w:tc>
          <w:tcPr>
            <w:tcW w:w="369" w:type="pct"/>
            <w:vAlign w:val="center"/>
          </w:tcPr>
          <w:p w14:paraId="3C08F13B">
            <w:pPr>
              <w:jc w:val="center"/>
              <w:rPr>
                <w:rFonts w:ascii="Times New Roman" w:hAnsi="Times New Roman"/>
                <w:sz w:val="15"/>
                <w:szCs w:val="13"/>
                <w:highlight w:val="none"/>
              </w:rPr>
            </w:pPr>
          </w:p>
        </w:tc>
        <w:tc>
          <w:tcPr>
            <w:tcW w:w="397" w:type="pct"/>
            <w:vAlign w:val="center"/>
          </w:tcPr>
          <w:p w14:paraId="19E3AE16">
            <w:pPr>
              <w:jc w:val="center"/>
              <w:rPr>
                <w:rFonts w:ascii="Times New Roman" w:hAnsi="Times New Roman"/>
                <w:sz w:val="15"/>
                <w:szCs w:val="13"/>
                <w:highlight w:val="none"/>
              </w:rPr>
            </w:pPr>
          </w:p>
        </w:tc>
        <w:tc>
          <w:tcPr>
            <w:tcW w:w="593" w:type="pct"/>
            <w:vAlign w:val="center"/>
          </w:tcPr>
          <w:p w14:paraId="2B9D173A">
            <w:pPr>
              <w:jc w:val="center"/>
              <w:rPr>
                <w:rFonts w:ascii="Times New Roman" w:hAnsi="Times New Roman"/>
                <w:sz w:val="15"/>
                <w:szCs w:val="13"/>
                <w:highlight w:val="none"/>
              </w:rPr>
            </w:pPr>
          </w:p>
        </w:tc>
        <w:tc>
          <w:tcPr>
            <w:tcW w:w="509" w:type="pct"/>
            <w:vAlign w:val="center"/>
          </w:tcPr>
          <w:p w14:paraId="72593FE7">
            <w:pPr>
              <w:jc w:val="center"/>
              <w:rPr>
                <w:rFonts w:ascii="Times New Roman" w:hAnsi="Times New Roman"/>
                <w:sz w:val="15"/>
                <w:szCs w:val="13"/>
                <w:highlight w:val="none"/>
              </w:rPr>
            </w:pPr>
          </w:p>
        </w:tc>
        <w:tc>
          <w:tcPr>
            <w:tcW w:w="339" w:type="pct"/>
            <w:vAlign w:val="center"/>
          </w:tcPr>
          <w:p w14:paraId="15FED90B">
            <w:pPr>
              <w:jc w:val="center"/>
              <w:rPr>
                <w:rFonts w:ascii="Times New Roman" w:hAnsi="Times New Roman"/>
                <w:sz w:val="15"/>
                <w:szCs w:val="13"/>
                <w:highlight w:val="none"/>
              </w:rPr>
            </w:pPr>
          </w:p>
        </w:tc>
        <w:tc>
          <w:tcPr>
            <w:tcW w:w="320" w:type="pct"/>
            <w:vAlign w:val="center"/>
          </w:tcPr>
          <w:p w14:paraId="17CBB04A">
            <w:pPr>
              <w:jc w:val="center"/>
              <w:rPr>
                <w:rFonts w:ascii="Times New Roman" w:hAnsi="Times New Roman"/>
                <w:sz w:val="15"/>
                <w:szCs w:val="13"/>
                <w:highlight w:val="none"/>
              </w:rPr>
            </w:pPr>
          </w:p>
        </w:tc>
        <w:tc>
          <w:tcPr>
            <w:tcW w:w="381" w:type="pct"/>
            <w:vAlign w:val="center"/>
          </w:tcPr>
          <w:p w14:paraId="69CA6C0F">
            <w:pPr>
              <w:jc w:val="center"/>
              <w:rPr>
                <w:rFonts w:ascii="Times New Roman" w:hAnsi="Times New Roman"/>
                <w:sz w:val="15"/>
                <w:szCs w:val="13"/>
                <w:highlight w:val="none"/>
              </w:rPr>
            </w:pPr>
          </w:p>
        </w:tc>
        <w:tc>
          <w:tcPr>
            <w:tcW w:w="452" w:type="pct"/>
            <w:vAlign w:val="center"/>
          </w:tcPr>
          <w:p w14:paraId="456EB105">
            <w:pPr>
              <w:jc w:val="center"/>
              <w:rPr>
                <w:rFonts w:ascii="Times New Roman" w:hAnsi="Times New Roman"/>
                <w:sz w:val="15"/>
                <w:szCs w:val="13"/>
                <w:highlight w:val="none"/>
              </w:rPr>
            </w:pPr>
          </w:p>
        </w:tc>
        <w:tc>
          <w:tcPr>
            <w:tcW w:w="286" w:type="pct"/>
            <w:vAlign w:val="center"/>
          </w:tcPr>
          <w:p w14:paraId="3B01D0BD">
            <w:pPr>
              <w:jc w:val="center"/>
              <w:rPr>
                <w:rFonts w:ascii="Times New Roman" w:hAnsi="Times New Roman"/>
                <w:sz w:val="15"/>
                <w:szCs w:val="13"/>
                <w:highlight w:val="none"/>
              </w:rPr>
            </w:pPr>
          </w:p>
        </w:tc>
      </w:tr>
      <w:tr w14:paraId="7E857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trPr>
        <w:tc>
          <w:tcPr>
            <w:tcW w:w="285" w:type="pct"/>
            <w:vAlign w:val="center"/>
          </w:tcPr>
          <w:p w14:paraId="79E930F9">
            <w:pPr>
              <w:jc w:val="center"/>
              <w:rPr>
                <w:rFonts w:ascii="Times New Roman" w:hAnsi="Times New Roman"/>
                <w:sz w:val="15"/>
                <w:szCs w:val="13"/>
                <w:highlight w:val="none"/>
              </w:rPr>
            </w:pPr>
          </w:p>
        </w:tc>
        <w:tc>
          <w:tcPr>
            <w:tcW w:w="285" w:type="pct"/>
            <w:vAlign w:val="center"/>
          </w:tcPr>
          <w:p w14:paraId="18DF4BEF">
            <w:pPr>
              <w:jc w:val="center"/>
              <w:rPr>
                <w:rFonts w:ascii="Times New Roman" w:hAnsi="Times New Roman"/>
                <w:sz w:val="15"/>
                <w:szCs w:val="13"/>
                <w:highlight w:val="none"/>
              </w:rPr>
            </w:pPr>
          </w:p>
        </w:tc>
        <w:tc>
          <w:tcPr>
            <w:tcW w:w="285" w:type="pct"/>
            <w:vAlign w:val="center"/>
          </w:tcPr>
          <w:p w14:paraId="7AC7604E">
            <w:pPr>
              <w:jc w:val="center"/>
              <w:rPr>
                <w:rFonts w:ascii="Times New Roman" w:hAnsi="Times New Roman"/>
                <w:sz w:val="15"/>
                <w:szCs w:val="13"/>
                <w:highlight w:val="none"/>
              </w:rPr>
            </w:pPr>
          </w:p>
        </w:tc>
        <w:tc>
          <w:tcPr>
            <w:tcW w:w="491" w:type="pct"/>
            <w:vAlign w:val="center"/>
          </w:tcPr>
          <w:p w14:paraId="226B918E">
            <w:pPr>
              <w:jc w:val="center"/>
              <w:rPr>
                <w:rFonts w:ascii="Times New Roman" w:hAnsi="Times New Roman"/>
                <w:sz w:val="15"/>
                <w:szCs w:val="13"/>
                <w:highlight w:val="none"/>
              </w:rPr>
            </w:pPr>
          </w:p>
        </w:tc>
        <w:tc>
          <w:tcPr>
            <w:tcW w:w="369" w:type="pct"/>
            <w:vAlign w:val="center"/>
          </w:tcPr>
          <w:p w14:paraId="425A6B50">
            <w:pPr>
              <w:jc w:val="center"/>
              <w:rPr>
                <w:rFonts w:ascii="Times New Roman" w:hAnsi="Times New Roman"/>
                <w:sz w:val="15"/>
                <w:szCs w:val="13"/>
                <w:highlight w:val="none"/>
              </w:rPr>
            </w:pPr>
          </w:p>
        </w:tc>
        <w:tc>
          <w:tcPr>
            <w:tcW w:w="397" w:type="pct"/>
            <w:vAlign w:val="center"/>
          </w:tcPr>
          <w:p w14:paraId="56FF9537">
            <w:pPr>
              <w:jc w:val="center"/>
              <w:rPr>
                <w:rFonts w:ascii="Times New Roman" w:hAnsi="Times New Roman"/>
                <w:sz w:val="15"/>
                <w:szCs w:val="13"/>
                <w:highlight w:val="none"/>
              </w:rPr>
            </w:pPr>
          </w:p>
        </w:tc>
        <w:tc>
          <w:tcPr>
            <w:tcW w:w="593" w:type="pct"/>
            <w:vAlign w:val="center"/>
          </w:tcPr>
          <w:p w14:paraId="67BACE75">
            <w:pPr>
              <w:jc w:val="center"/>
              <w:rPr>
                <w:rFonts w:ascii="Times New Roman" w:hAnsi="Times New Roman"/>
                <w:sz w:val="15"/>
                <w:szCs w:val="13"/>
                <w:highlight w:val="none"/>
              </w:rPr>
            </w:pPr>
          </w:p>
        </w:tc>
        <w:tc>
          <w:tcPr>
            <w:tcW w:w="509" w:type="pct"/>
            <w:vAlign w:val="center"/>
          </w:tcPr>
          <w:p w14:paraId="777487A5">
            <w:pPr>
              <w:jc w:val="center"/>
              <w:rPr>
                <w:rFonts w:ascii="Times New Roman" w:hAnsi="Times New Roman"/>
                <w:sz w:val="15"/>
                <w:szCs w:val="13"/>
                <w:highlight w:val="none"/>
              </w:rPr>
            </w:pPr>
          </w:p>
        </w:tc>
        <w:tc>
          <w:tcPr>
            <w:tcW w:w="339" w:type="pct"/>
            <w:vAlign w:val="center"/>
          </w:tcPr>
          <w:p w14:paraId="74CDABD7">
            <w:pPr>
              <w:jc w:val="center"/>
              <w:rPr>
                <w:rFonts w:ascii="Times New Roman" w:hAnsi="Times New Roman"/>
                <w:sz w:val="15"/>
                <w:szCs w:val="13"/>
                <w:highlight w:val="none"/>
              </w:rPr>
            </w:pPr>
          </w:p>
        </w:tc>
        <w:tc>
          <w:tcPr>
            <w:tcW w:w="320" w:type="pct"/>
            <w:vAlign w:val="center"/>
          </w:tcPr>
          <w:p w14:paraId="2150BF60">
            <w:pPr>
              <w:jc w:val="center"/>
              <w:rPr>
                <w:rFonts w:ascii="Times New Roman" w:hAnsi="Times New Roman"/>
                <w:sz w:val="15"/>
                <w:szCs w:val="13"/>
                <w:highlight w:val="none"/>
              </w:rPr>
            </w:pPr>
          </w:p>
        </w:tc>
        <w:tc>
          <w:tcPr>
            <w:tcW w:w="381" w:type="pct"/>
            <w:vAlign w:val="center"/>
          </w:tcPr>
          <w:p w14:paraId="4C2D1B5F">
            <w:pPr>
              <w:jc w:val="center"/>
              <w:rPr>
                <w:rFonts w:ascii="Times New Roman" w:hAnsi="Times New Roman"/>
                <w:sz w:val="15"/>
                <w:szCs w:val="13"/>
                <w:highlight w:val="none"/>
              </w:rPr>
            </w:pPr>
          </w:p>
        </w:tc>
        <w:tc>
          <w:tcPr>
            <w:tcW w:w="452" w:type="pct"/>
            <w:vAlign w:val="center"/>
          </w:tcPr>
          <w:p w14:paraId="1AB885BB">
            <w:pPr>
              <w:jc w:val="center"/>
              <w:rPr>
                <w:rFonts w:ascii="Times New Roman" w:hAnsi="Times New Roman"/>
                <w:sz w:val="15"/>
                <w:szCs w:val="13"/>
                <w:highlight w:val="none"/>
              </w:rPr>
            </w:pPr>
          </w:p>
        </w:tc>
        <w:tc>
          <w:tcPr>
            <w:tcW w:w="286" w:type="pct"/>
            <w:vAlign w:val="center"/>
          </w:tcPr>
          <w:p w14:paraId="408166B3">
            <w:pPr>
              <w:jc w:val="center"/>
              <w:rPr>
                <w:rFonts w:ascii="Times New Roman" w:hAnsi="Times New Roman"/>
                <w:sz w:val="15"/>
                <w:szCs w:val="13"/>
                <w:highlight w:val="none"/>
              </w:rPr>
            </w:pPr>
          </w:p>
        </w:tc>
      </w:tr>
      <w:tr w14:paraId="76884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trPr>
        <w:tc>
          <w:tcPr>
            <w:tcW w:w="285" w:type="pct"/>
            <w:vAlign w:val="center"/>
          </w:tcPr>
          <w:p w14:paraId="5933FFD2">
            <w:pPr>
              <w:jc w:val="center"/>
              <w:rPr>
                <w:rFonts w:ascii="Times New Roman" w:hAnsi="Times New Roman"/>
                <w:sz w:val="15"/>
                <w:szCs w:val="13"/>
                <w:highlight w:val="none"/>
              </w:rPr>
            </w:pPr>
          </w:p>
        </w:tc>
        <w:tc>
          <w:tcPr>
            <w:tcW w:w="285" w:type="pct"/>
            <w:vAlign w:val="center"/>
          </w:tcPr>
          <w:p w14:paraId="003D6CF1">
            <w:pPr>
              <w:jc w:val="center"/>
              <w:rPr>
                <w:rFonts w:ascii="Times New Roman" w:hAnsi="Times New Roman"/>
                <w:sz w:val="15"/>
                <w:szCs w:val="13"/>
                <w:highlight w:val="none"/>
              </w:rPr>
            </w:pPr>
          </w:p>
        </w:tc>
        <w:tc>
          <w:tcPr>
            <w:tcW w:w="285" w:type="pct"/>
            <w:vAlign w:val="center"/>
          </w:tcPr>
          <w:p w14:paraId="666A3CCF">
            <w:pPr>
              <w:jc w:val="center"/>
              <w:rPr>
                <w:rFonts w:ascii="Times New Roman" w:hAnsi="Times New Roman"/>
                <w:sz w:val="15"/>
                <w:szCs w:val="13"/>
                <w:highlight w:val="none"/>
              </w:rPr>
            </w:pPr>
          </w:p>
        </w:tc>
        <w:tc>
          <w:tcPr>
            <w:tcW w:w="491" w:type="pct"/>
            <w:vAlign w:val="center"/>
          </w:tcPr>
          <w:p w14:paraId="4FCA0883">
            <w:pPr>
              <w:jc w:val="center"/>
              <w:rPr>
                <w:rFonts w:ascii="Times New Roman" w:hAnsi="Times New Roman"/>
                <w:sz w:val="15"/>
                <w:szCs w:val="13"/>
                <w:highlight w:val="none"/>
              </w:rPr>
            </w:pPr>
          </w:p>
        </w:tc>
        <w:tc>
          <w:tcPr>
            <w:tcW w:w="369" w:type="pct"/>
            <w:vAlign w:val="center"/>
          </w:tcPr>
          <w:p w14:paraId="24AB359D">
            <w:pPr>
              <w:jc w:val="center"/>
              <w:rPr>
                <w:rFonts w:ascii="Times New Roman" w:hAnsi="Times New Roman"/>
                <w:sz w:val="15"/>
                <w:szCs w:val="13"/>
                <w:highlight w:val="none"/>
              </w:rPr>
            </w:pPr>
          </w:p>
        </w:tc>
        <w:tc>
          <w:tcPr>
            <w:tcW w:w="397" w:type="pct"/>
            <w:vAlign w:val="center"/>
          </w:tcPr>
          <w:p w14:paraId="345359D1">
            <w:pPr>
              <w:jc w:val="center"/>
              <w:rPr>
                <w:rFonts w:ascii="Times New Roman" w:hAnsi="Times New Roman"/>
                <w:sz w:val="15"/>
                <w:szCs w:val="13"/>
                <w:highlight w:val="none"/>
              </w:rPr>
            </w:pPr>
          </w:p>
        </w:tc>
        <w:tc>
          <w:tcPr>
            <w:tcW w:w="593" w:type="pct"/>
            <w:vAlign w:val="center"/>
          </w:tcPr>
          <w:p w14:paraId="13F85D87">
            <w:pPr>
              <w:jc w:val="center"/>
              <w:rPr>
                <w:rFonts w:ascii="Times New Roman" w:hAnsi="Times New Roman"/>
                <w:sz w:val="15"/>
                <w:szCs w:val="13"/>
                <w:highlight w:val="none"/>
              </w:rPr>
            </w:pPr>
          </w:p>
        </w:tc>
        <w:tc>
          <w:tcPr>
            <w:tcW w:w="509" w:type="pct"/>
            <w:vAlign w:val="center"/>
          </w:tcPr>
          <w:p w14:paraId="01825F25">
            <w:pPr>
              <w:jc w:val="center"/>
              <w:rPr>
                <w:rFonts w:ascii="Times New Roman" w:hAnsi="Times New Roman"/>
                <w:sz w:val="15"/>
                <w:szCs w:val="13"/>
                <w:highlight w:val="none"/>
              </w:rPr>
            </w:pPr>
          </w:p>
        </w:tc>
        <w:tc>
          <w:tcPr>
            <w:tcW w:w="339" w:type="pct"/>
            <w:vAlign w:val="center"/>
          </w:tcPr>
          <w:p w14:paraId="1C766771">
            <w:pPr>
              <w:jc w:val="center"/>
              <w:rPr>
                <w:rFonts w:ascii="Times New Roman" w:hAnsi="Times New Roman"/>
                <w:sz w:val="15"/>
                <w:szCs w:val="13"/>
                <w:highlight w:val="none"/>
              </w:rPr>
            </w:pPr>
          </w:p>
        </w:tc>
        <w:tc>
          <w:tcPr>
            <w:tcW w:w="320" w:type="pct"/>
            <w:vAlign w:val="center"/>
          </w:tcPr>
          <w:p w14:paraId="71E702B8">
            <w:pPr>
              <w:jc w:val="center"/>
              <w:rPr>
                <w:rFonts w:ascii="Times New Roman" w:hAnsi="Times New Roman"/>
                <w:sz w:val="15"/>
                <w:szCs w:val="13"/>
                <w:highlight w:val="none"/>
              </w:rPr>
            </w:pPr>
          </w:p>
        </w:tc>
        <w:tc>
          <w:tcPr>
            <w:tcW w:w="381" w:type="pct"/>
            <w:vAlign w:val="center"/>
          </w:tcPr>
          <w:p w14:paraId="4621611A">
            <w:pPr>
              <w:jc w:val="center"/>
              <w:rPr>
                <w:rFonts w:ascii="Times New Roman" w:hAnsi="Times New Roman"/>
                <w:sz w:val="15"/>
                <w:szCs w:val="13"/>
                <w:highlight w:val="none"/>
              </w:rPr>
            </w:pPr>
          </w:p>
        </w:tc>
        <w:tc>
          <w:tcPr>
            <w:tcW w:w="452" w:type="pct"/>
            <w:vAlign w:val="center"/>
          </w:tcPr>
          <w:p w14:paraId="67CF0B27">
            <w:pPr>
              <w:jc w:val="center"/>
              <w:rPr>
                <w:rFonts w:ascii="Times New Roman" w:hAnsi="Times New Roman"/>
                <w:sz w:val="15"/>
                <w:szCs w:val="13"/>
                <w:highlight w:val="none"/>
              </w:rPr>
            </w:pPr>
          </w:p>
        </w:tc>
        <w:tc>
          <w:tcPr>
            <w:tcW w:w="286" w:type="pct"/>
            <w:vAlign w:val="center"/>
          </w:tcPr>
          <w:p w14:paraId="514F6ECE">
            <w:pPr>
              <w:jc w:val="center"/>
              <w:rPr>
                <w:rFonts w:ascii="Times New Roman" w:hAnsi="Times New Roman"/>
                <w:sz w:val="15"/>
                <w:szCs w:val="13"/>
                <w:highlight w:val="none"/>
              </w:rPr>
            </w:pPr>
          </w:p>
        </w:tc>
      </w:tr>
      <w:tr w14:paraId="1D973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trPr>
        <w:tc>
          <w:tcPr>
            <w:tcW w:w="285" w:type="pct"/>
            <w:vAlign w:val="center"/>
          </w:tcPr>
          <w:p w14:paraId="12D79F8C">
            <w:pPr>
              <w:jc w:val="center"/>
              <w:rPr>
                <w:rFonts w:ascii="Times New Roman" w:hAnsi="Times New Roman"/>
                <w:sz w:val="15"/>
                <w:szCs w:val="13"/>
                <w:highlight w:val="none"/>
              </w:rPr>
            </w:pPr>
          </w:p>
        </w:tc>
        <w:tc>
          <w:tcPr>
            <w:tcW w:w="285" w:type="pct"/>
            <w:vAlign w:val="center"/>
          </w:tcPr>
          <w:p w14:paraId="062A5A17">
            <w:pPr>
              <w:jc w:val="center"/>
              <w:rPr>
                <w:rFonts w:ascii="Times New Roman" w:hAnsi="Times New Roman"/>
                <w:sz w:val="15"/>
                <w:szCs w:val="13"/>
                <w:highlight w:val="none"/>
              </w:rPr>
            </w:pPr>
          </w:p>
        </w:tc>
        <w:tc>
          <w:tcPr>
            <w:tcW w:w="285" w:type="pct"/>
            <w:vAlign w:val="center"/>
          </w:tcPr>
          <w:p w14:paraId="1CF6A3FB">
            <w:pPr>
              <w:jc w:val="center"/>
              <w:rPr>
                <w:rFonts w:ascii="Times New Roman" w:hAnsi="Times New Roman"/>
                <w:sz w:val="15"/>
                <w:szCs w:val="13"/>
                <w:highlight w:val="none"/>
              </w:rPr>
            </w:pPr>
          </w:p>
        </w:tc>
        <w:tc>
          <w:tcPr>
            <w:tcW w:w="491" w:type="pct"/>
            <w:vAlign w:val="center"/>
          </w:tcPr>
          <w:p w14:paraId="3C4C6914">
            <w:pPr>
              <w:jc w:val="center"/>
              <w:rPr>
                <w:rFonts w:ascii="Times New Roman" w:hAnsi="Times New Roman"/>
                <w:sz w:val="15"/>
                <w:szCs w:val="13"/>
                <w:highlight w:val="none"/>
              </w:rPr>
            </w:pPr>
          </w:p>
        </w:tc>
        <w:tc>
          <w:tcPr>
            <w:tcW w:w="369" w:type="pct"/>
            <w:vAlign w:val="center"/>
          </w:tcPr>
          <w:p w14:paraId="0AABAD8C">
            <w:pPr>
              <w:jc w:val="center"/>
              <w:rPr>
                <w:rFonts w:ascii="Times New Roman" w:hAnsi="Times New Roman"/>
                <w:sz w:val="15"/>
                <w:szCs w:val="13"/>
                <w:highlight w:val="none"/>
              </w:rPr>
            </w:pPr>
          </w:p>
        </w:tc>
        <w:tc>
          <w:tcPr>
            <w:tcW w:w="397" w:type="pct"/>
            <w:vAlign w:val="center"/>
          </w:tcPr>
          <w:p w14:paraId="0DF5A67E">
            <w:pPr>
              <w:jc w:val="center"/>
              <w:rPr>
                <w:rFonts w:ascii="Times New Roman" w:hAnsi="Times New Roman"/>
                <w:sz w:val="15"/>
                <w:szCs w:val="13"/>
                <w:highlight w:val="none"/>
              </w:rPr>
            </w:pPr>
          </w:p>
        </w:tc>
        <w:tc>
          <w:tcPr>
            <w:tcW w:w="593" w:type="pct"/>
            <w:vAlign w:val="center"/>
          </w:tcPr>
          <w:p w14:paraId="10B2269E">
            <w:pPr>
              <w:jc w:val="center"/>
              <w:rPr>
                <w:rFonts w:ascii="Times New Roman" w:hAnsi="Times New Roman"/>
                <w:sz w:val="15"/>
                <w:szCs w:val="13"/>
                <w:highlight w:val="none"/>
              </w:rPr>
            </w:pPr>
          </w:p>
        </w:tc>
        <w:tc>
          <w:tcPr>
            <w:tcW w:w="509" w:type="pct"/>
            <w:vAlign w:val="center"/>
          </w:tcPr>
          <w:p w14:paraId="3A6436E4">
            <w:pPr>
              <w:jc w:val="center"/>
              <w:rPr>
                <w:rFonts w:ascii="Times New Roman" w:hAnsi="Times New Roman"/>
                <w:sz w:val="15"/>
                <w:szCs w:val="13"/>
                <w:highlight w:val="none"/>
              </w:rPr>
            </w:pPr>
          </w:p>
        </w:tc>
        <w:tc>
          <w:tcPr>
            <w:tcW w:w="339" w:type="pct"/>
            <w:vAlign w:val="center"/>
          </w:tcPr>
          <w:p w14:paraId="362643E5">
            <w:pPr>
              <w:jc w:val="center"/>
              <w:rPr>
                <w:rFonts w:ascii="Times New Roman" w:hAnsi="Times New Roman"/>
                <w:sz w:val="15"/>
                <w:szCs w:val="13"/>
                <w:highlight w:val="none"/>
              </w:rPr>
            </w:pPr>
          </w:p>
        </w:tc>
        <w:tc>
          <w:tcPr>
            <w:tcW w:w="320" w:type="pct"/>
            <w:vAlign w:val="center"/>
          </w:tcPr>
          <w:p w14:paraId="030ED19A">
            <w:pPr>
              <w:jc w:val="center"/>
              <w:rPr>
                <w:rFonts w:ascii="Times New Roman" w:hAnsi="Times New Roman"/>
                <w:sz w:val="15"/>
                <w:szCs w:val="13"/>
                <w:highlight w:val="none"/>
              </w:rPr>
            </w:pPr>
          </w:p>
        </w:tc>
        <w:tc>
          <w:tcPr>
            <w:tcW w:w="381" w:type="pct"/>
            <w:vAlign w:val="center"/>
          </w:tcPr>
          <w:p w14:paraId="7FD244E8">
            <w:pPr>
              <w:jc w:val="center"/>
              <w:rPr>
                <w:rFonts w:ascii="Times New Roman" w:hAnsi="Times New Roman"/>
                <w:sz w:val="15"/>
                <w:szCs w:val="13"/>
                <w:highlight w:val="none"/>
              </w:rPr>
            </w:pPr>
          </w:p>
        </w:tc>
        <w:tc>
          <w:tcPr>
            <w:tcW w:w="452" w:type="pct"/>
            <w:vAlign w:val="center"/>
          </w:tcPr>
          <w:p w14:paraId="251C5DFC">
            <w:pPr>
              <w:jc w:val="center"/>
              <w:rPr>
                <w:rFonts w:ascii="Times New Roman" w:hAnsi="Times New Roman"/>
                <w:sz w:val="15"/>
                <w:szCs w:val="13"/>
                <w:highlight w:val="none"/>
              </w:rPr>
            </w:pPr>
          </w:p>
        </w:tc>
        <w:tc>
          <w:tcPr>
            <w:tcW w:w="286" w:type="pct"/>
            <w:vAlign w:val="center"/>
          </w:tcPr>
          <w:p w14:paraId="7518897A">
            <w:pPr>
              <w:jc w:val="center"/>
              <w:rPr>
                <w:rFonts w:ascii="Times New Roman" w:hAnsi="Times New Roman"/>
                <w:sz w:val="15"/>
                <w:szCs w:val="13"/>
                <w:highlight w:val="none"/>
              </w:rPr>
            </w:pPr>
          </w:p>
        </w:tc>
      </w:tr>
      <w:tr w14:paraId="7AEB6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trPr>
        <w:tc>
          <w:tcPr>
            <w:tcW w:w="285" w:type="pct"/>
            <w:vAlign w:val="center"/>
          </w:tcPr>
          <w:p w14:paraId="11E93D66">
            <w:pPr>
              <w:jc w:val="center"/>
              <w:rPr>
                <w:rFonts w:ascii="Times New Roman" w:hAnsi="Times New Roman"/>
                <w:sz w:val="15"/>
                <w:szCs w:val="13"/>
                <w:highlight w:val="none"/>
              </w:rPr>
            </w:pPr>
          </w:p>
        </w:tc>
        <w:tc>
          <w:tcPr>
            <w:tcW w:w="285" w:type="pct"/>
            <w:vAlign w:val="center"/>
          </w:tcPr>
          <w:p w14:paraId="63CCEF39">
            <w:pPr>
              <w:jc w:val="center"/>
              <w:rPr>
                <w:rFonts w:ascii="Times New Roman" w:hAnsi="Times New Roman"/>
                <w:sz w:val="15"/>
                <w:szCs w:val="13"/>
                <w:highlight w:val="none"/>
              </w:rPr>
            </w:pPr>
          </w:p>
        </w:tc>
        <w:tc>
          <w:tcPr>
            <w:tcW w:w="285" w:type="pct"/>
            <w:vAlign w:val="center"/>
          </w:tcPr>
          <w:p w14:paraId="5CF82C57">
            <w:pPr>
              <w:jc w:val="center"/>
              <w:rPr>
                <w:rFonts w:ascii="Times New Roman" w:hAnsi="Times New Roman"/>
                <w:sz w:val="15"/>
                <w:szCs w:val="13"/>
                <w:highlight w:val="none"/>
              </w:rPr>
            </w:pPr>
          </w:p>
        </w:tc>
        <w:tc>
          <w:tcPr>
            <w:tcW w:w="491" w:type="pct"/>
            <w:vAlign w:val="center"/>
          </w:tcPr>
          <w:p w14:paraId="0347AD3B">
            <w:pPr>
              <w:jc w:val="center"/>
              <w:rPr>
                <w:rFonts w:ascii="Times New Roman" w:hAnsi="Times New Roman"/>
                <w:sz w:val="15"/>
                <w:szCs w:val="13"/>
                <w:highlight w:val="none"/>
              </w:rPr>
            </w:pPr>
          </w:p>
        </w:tc>
        <w:tc>
          <w:tcPr>
            <w:tcW w:w="369" w:type="pct"/>
            <w:vAlign w:val="center"/>
          </w:tcPr>
          <w:p w14:paraId="3B4FEC83">
            <w:pPr>
              <w:jc w:val="center"/>
              <w:rPr>
                <w:rFonts w:ascii="Times New Roman" w:hAnsi="Times New Roman"/>
                <w:sz w:val="15"/>
                <w:szCs w:val="13"/>
                <w:highlight w:val="none"/>
              </w:rPr>
            </w:pPr>
          </w:p>
        </w:tc>
        <w:tc>
          <w:tcPr>
            <w:tcW w:w="397" w:type="pct"/>
            <w:vAlign w:val="center"/>
          </w:tcPr>
          <w:p w14:paraId="657FA3AE">
            <w:pPr>
              <w:jc w:val="center"/>
              <w:rPr>
                <w:rFonts w:ascii="Times New Roman" w:hAnsi="Times New Roman"/>
                <w:sz w:val="15"/>
                <w:szCs w:val="13"/>
                <w:highlight w:val="none"/>
              </w:rPr>
            </w:pPr>
          </w:p>
        </w:tc>
        <w:tc>
          <w:tcPr>
            <w:tcW w:w="593" w:type="pct"/>
            <w:vAlign w:val="center"/>
          </w:tcPr>
          <w:p w14:paraId="573882DD">
            <w:pPr>
              <w:jc w:val="center"/>
              <w:rPr>
                <w:rFonts w:ascii="Times New Roman" w:hAnsi="Times New Roman"/>
                <w:sz w:val="15"/>
                <w:szCs w:val="13"/>
                <w:highlight w:val="none"/>
              </w:rPr>
            </w:pPr>
          </w:p>
        </w:tc>
        <w:tc>
          <w:tcPr>
            <w:tcW w:w="509" w:type="pct"/>
            <w:vAlign w:val="center"/>
          </w:tcPr>
          <w:p w14:paraId="6365E6D4">
            <w:pPr>
              <w:jc w:val="center"/>
              <w:rPr>
                <w:rFonts w:ascii="Times New Roman" w:hAnsi="Times New Roman"/>
                <w:sz w:val="15"/>
                <w:szCs w:val="13"/>
                <w:highlight w:val="none"/>
              </w:rPr>
            </w:pPr>
          </w:p>
        </w:tc>
        <w:tc>
          <w:tcPr>
            <w:tcW w:w="339" w:type="pct"/>
            <w:vAlign w:val="center"/>
          </w:tcPr>
          <w:p w14:paraId="15775634">
            <w:pPr>
              <w:jc w:val="center"/>
              <w:rPr>
                <w:rFonts w:ascii="Times New Roman" w:hAnsi="Times New Roman"/>
                <w:sz w:val="15"/>
                <w:szCs w:val="13"/>
                <w:highlight w:val="none"/>
              </w:rPr>
            </w:pPr>
          </w:p>
        </w:tc>
        <w:tc>
          <w:tcPr>
            <w:tcW w:w="320" w:type="pct"/>
            <w:vAlign w:val="center"/>
          </w:tcPr>
          <w:p w14:paraId="5B84A4B9">
            <w:pPr>
              <w:jc w:val="center"/>
              <w:rPr>
                <w:rFonts w:ascii="Times New Roman" w:hAnsi="Times New Roman"/>
                <w:sz w:val="15"/>
                <w:szCs w:val="13"/>
                <w:highlight w:val="none"/>
              </w:rPr>
            </w:pPr>
          </w:p>
        </w:tc>
        <w:tc>
          <w:tcPr>
            <w:tcW w:w="381" w:type="pct"/>
            <w:vAlign w:val="center"/>
          </w:tcPr>
          <w:p w14:paraId="1A5FAEFE">
            <w:pPr>
              <w:jc w:val="center"/>
              <w:rPr>
                <w:rFonts w:ascii="Times New Roman" w:hAnsi="Times New Roman"/>
                <w:sz w:val="15"/>
                <w:szCs w:val="13"/>
                <w:highlight w:val="none"/>
              </w:rPr>
            </w:pPr>
          </w:p>
        </w:tc>
        <w:tc>
          <w:tcPr>
            <w:tcW w:w="452" w:type="pct"/>
            <w:vAlign w:val="center"/>
          </w:tcPr>
          <w:p w14:paraId="432D6345">
            <w:pPr>
              <w:jc w:val="center"/>
              <w:rPr>
                <w:rFonts w:ascii="Times New Roman" w:hAnsi="Times New Roman"/>
                <w:sz w:val="15"/>
                <w:szCs w:val="13"/>
                <w:highlight w:val="none"/>
              </w:rPr>
            </w:pPr>
          </w:p>
        </w:tc>
        <w:tc>
          <w:tcPr>
            <w:tcW w:w="286" w:type="pct"/>
            <w:vAlign w:val="center"/>
          </w:tcPr>
          <w:p w14:paraId="27C8E204">
            <w:pPr>
              <w:jc w:val="center"/>
              <w:rPr>
                <w:rFonts w:ascii="Times New Roman" w:hAnsi="Times New Roman"/>
                <w:sz w:val="15"/>
                <w:szCs w:val="13"/>
                <w:highlight w:val="none"/>
              </w:rPr>
            </w:pPr>
          </w:p>
        </w:tc>
      </w:tr>
    </w:tbl>
    <w:p w14:paraId="22C2D6A3">
      <w:pPr>
        <w:widowControl/>
        <w:jc w:val="left"/>
        <w:rPr>
          <w:rFonts w:ascii="Times New Roman" w:hAnsi="Times New Roman"/>
          <w:highlight w:val="none"/>
        </w:rPr>
      </w:pPr>
      <w:r>
        <w:rPr>
          <w:rFonts w:ascii="Times New Roman" w:hAnsi="Times New Roman"/>
          <w:highlight w:val="none"/>
        </w:rPr>
        <w:br w:type="page"/>
      </w:r>
    </w:p>
    <w:p w14:paraId="323E3EA1">
      <w:pPr>
        <w:jc w:val="center"/>
        <w:rPr>
          <w:rFonts w:hint="default" w:ascii="Times New Roman" w:hAnsi="Times New Roman"/>
          <w:b/>
          <w:sz w:val="20"/>
          <w:szCs w:val="20"/>
          <w:highlight w:val="none"/>
        </w:rPr>
      </w:pPr>
      <w:r>
        <w:rPr>
          <w:rFonts w:hint="default" w:ascii="Times New Roman" w:hAnsi="Times New Roman"/>
          <w:b/>
          <w:sz w:val="20"/>
          <w:szCs w:val="20"/>
          <w:highlight w:val="none"/>
        </w:rPr>
        <w:t>表A.</w:t>
      </w:r>
      <w:r>
        <w:rPr>
          <w:rFonts w:hint="default" w:ascii="Times New Roman" w:hAnsi="Times New Roman"/>
          <w:b/>
          <w:sz w:val="20"/>
          <w:szCs w:val="20"/>
          <w:highlight w:val="none"/>
          <w:lang w:val="en-US" w:eastAsia="zh-CN"/>
        </w:rPr>
        <w:t>4</w:t>
      </w:r>
      <w:r>
        <w:rPr>
          <w:rFonts w:hint="default" w:ascii="Times New Roman" w:hAnsi="Times New Roman"/>
          <w:b/>
          <w:sz w:val="20"/>
          <w:szCs w:val="20"/>
          <w:highlight w:val="none"/>
        </w:rPr>
        <w:t xml:space="preserve"> </w:t>
      </w:r>
      <w:r>
        <w:rPr>
          <w:rFonts w:hint="default" w:ascii="Times New Roman" w:hAnsi="Times New Roman"/>
          <w:b/>
          <w:sz w:val="20"/>
          <w:szCs w:val="20"/>
          <w:highlight w:val="none"/>
          <w:lang w:val="en-US" w:eastAsia="zh-CN"/>
        </w:rPr>
        <w:t>长螺旋压灌</w:t>
      </w:r>
      <w:r>
        <w:rPr>
          <w:rFonts w:hint="eastAsia" w:ascii="Times New Roman" w:hAnsi="Times New Roman"/>
          <w:b/>
          <w:sz w:val="20"/>
          <w:szCs w:val="20"/>
          <w:highlight w:val="none"/>
          <w:lang w:val="en-US" w:eastAsia="zh-CN"/>
        </w:rPr>
        <w:t>工艺</w:t>
      </w:r>
      <w:r>
        <w:rPr>
          <w:rFonts w:hint="default" w:ascii="Times New Roman" w:hAnsi="Times New Roman"/>
          <w:b/>
          <w:sz w:val="20"/>
          <w:szCs w:val="20"/>
          <w:highlight w:val="none"/>
        </w:rPr>
        <w:t>施工记录表</w:t>
      </w:r>
    </w:p>
    <w:p w14:paraId="5751CF5B">
      <w:pPr>
        <w:rPr>
          <w:rFonts w:hint="default" w:ascii="Times New Roman" w:hAnsi="Times New Roman"/>
          <w:sz w:val="15"/>
          <w:szCs w:val="13"/>
          <w:highlight w:val="none"/>
        </w:rPr>
      </w:pPr>
      <w:r>
        <w:rPr>
          <w:rFonts w:hint="default" w:ascii="Times New Roman" w:hAnsi="Times New Roman"/>
          <w:sz w:val="15"/>
          <w:szCs w:val="13"/>
          <w:highlight w:val="none"/>
        </w:rPr>
        <w:t xml:space="preserve">工程名称：                                    </w:t>
      </w:r>
      <w:r>
        <w:rPr>
          <w:rFonts w:hint="default" w:ascii="Times New Roman" w:hAnsi="Times New Roman"/>
          <w:color w:val="000000" w:themeColor="text1"/>
          <w:sz w:val="15"/>
          <w:szCs w:val="13"/>
          <w:highlight w:val="none"/>
          <w14:textFill>
            <w14:solidFill>
              <w14:schemeClr w14:val="tx1"/>
            </w14:solidFill>
          </w14:textFill>
        </w:rPr>
        <w:t xml:space="preserve">施工单位： </w:t>
      </w:r>
      <w:r>
        <w:rPr>
          <w:rFonts w:ascii="Times New Roman" w:hAnsi="Times New Roman"/>
          <w:color w:val="000000" w:themeColor="text1"/>
          <w:sz w:val="15"/>
          <w:szCs w:val="13"/>
          <w:highlight w:val="none"/>
          <w14:textFill>
            <w14:solidFill>
              <w14:schemeClr w14:val="tx1"/>
            </w14:solidFill>
          </w14:textFill>
        </w:rPr>
        <w:t xml:space="preserve">    </w:t>
      </w:r>
      <w:r>
        <w:rPr>
          <w:rFonts w:hint="default" w:ascii="Times New Roman" w:hAnsi="Times New Roman"/>
          <w:color w:val="000000" w:themeColor="text1"/>
          <w:sz w:val="15"/>
          <w:szCs w:val="13"/>
          <w:highlight w:val="none"/>
          <w:lang w:val="en-US" w:eastAsia="zh-CN"/>
          <w14:textFill>
            <w14:solidFill>
              <w14:schemeClr w14:val="tx1"/>
            </w14:solidFill>
          </w14:textFill>
        </w:rPr>
        <w:t xml:space="preserve">     </w:t>
      </w:r>
      <w:r>
        <w:rPr>
          <w:rFonts w:hint="default" w:ascii="Times New Roman" w:hAnsi="Times New Roman"/>
          <w:color w:val="000000" w:themeColor="text1"/>
          <w:sz w:val="15"/>
          <w:szCs w:val="13"/>
          <w:highlight w:val="none"/>
          <w14:textFill>
            <w14:solidFill>
              <w14:schemeClr w14:val="tx1"/>
            </w14:solidFill>
          </w14:textFill>
        </w:rPr>
        <w:t>记录：</w:t>
      </w:r>
    </w:p>
    <w:p w14:paraId="7FD04E46">
      <w:pPr>
        <w:rPr>
          <w:rFonts w:ascii="Times New Roman" w:hAnsi="Times New Roman"/>
          <w:color w:val="000000" w:themeColor="text1"/>
          <w:sz w:val="18"/>
          <w:szCs w:val="18"/>
          <w:highlight w:val="none"/>
          <w14:textFill>
            <w14:solidFill>
              <w14:schemeClr w14:val="tx1"/>
            </w14:solidFill>
          </w14:textFill>
        </w:rPr>
      </w:pPr>
      <w:r>
        <w:rPr>
          <w:rFonts w:hint="default" w:ascii="Times New Roman" w:hAnsi="Times New Roman"/>
          <w:sz w:val="15"/>
          <w:szCs w:val="13"/>
          <w:highlight w:val="none"/>
        </w:rPr>
        <w:t>设计桩顶标高：         设计桩底标高：         钻机类型：          编号：</w:t>
      </w:r>
      <w:r>
        <w:rPr>
          <w:rFonts w:hint="default" w:ascii="Times New Roman" w:hAnsi="Times New Roman"/>
          <w:color w:val="000000" w:themeColor="text1"/>
          <w:sz w:val="15"/>
          <w:szCs w:val="15"/>
          <w:highlight w:val="none"/>
          <w14:textFill>
            <w14:solidFill>
              <w14:schemeClr w14:val="tx1"/>
            </w14:solidFill>
          </w14:textFill>
        </w:rPr>
        <w:t xml:space="preserve">       </w:t>
      </w:r>
      <w:r>
        <w:rPr>
          <w:rFonts w:hint="default" w:ascii="Times New Roman" w:hAnsi="Times New Roman"/>
          <w:color w:val="000000" w:themeColor="text1"/>
          <w:sz w:val="13"/>
          <w:szCs w:val="13"/>
          <w:highlight w:val="none"/>
          <w14:textFill>
            <w14:solidFill>
              <w14:schemeClr w14:val="tx1"/>
            </w14:solidFill>
          </w14:textFill>
        </w:rPr>
        <w:t xml:space="preserve">  </w:t>
      </w:r>
      <w:r>
        <w:rPr>
          <w:rFonts w:hint="default" w:ascii="Times New Roman" w:hAnsi="Times New Roman"/>
          <w:color w:val="000000" w:themeColor="text1"/>
          <w:sz w:val="18"/>
          <w:szCs w:val="18"/>
          <w:highlight w:val="none"/>
          <w14:textFill>
            <w14:solidFill>
              <w14:schemeClr w14:val="tx1"/>
            </w14:solidFill>
          </w14:textFill>
        </w:rPr>
        <w:t xml:space="preserve">   </w:t>
      </w:r>
    </w:p>
    <w:tbl>
      <w:tblPr>
        <w:tblStyle w:val="49"/>
        <w:tblW w:w="503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
        <w:gridCol w:w="510"/>
        <w:gridCol w:w="521"/>
        <w:gridCol w:w="619"/>
        <w:gridCol w:w="486"/>
        <w:gridCol w:w="726"/>
        <w:gridCol w:w="588"/>
        <w:gridCol w:w="983"/>
        <w:gridCol w:w="481"/>
        <w:gridCol w:w="680"/>
        <w:gridCol w:w="861"/>
        <w:gridCol w:w="577"/>
        <w:gridCol w:w="577"/>
        <w:gridCol w:w="684"/>
        <w:gridCol w:w="465"/>
      </w:tblGrid>
      <w:tr w14:paraId="4104C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258" w:type="pct"/>
            <w:vMerge w:val="restart"/>
            <w:vAlign w:val="center"/>
          </w:tcPr>
          <w:p w14:paraId="56024E15">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序号</w:t>
            </w:r>
          </w:p>
        </w:tc>
        <w:tc>
          <w:tcPr>
            <w:tcW w:w="276" w:type="pct"/>
            <w:vMerge w:val="restart"/>
            <w:vAlign w:val="center"/>
          </w:tcPr>
          <w:p w14:paraId="5544E46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桩号</w:t>
            </w:r>
          </w:p>
        </w:tc>
        <w:tc>
          <w:tcPr>
            <w:tcW w:w="282" w:type="pct"/>
            <w:vMerge w:val="restart"/>
            <w:vAlign w:val="center"/>
          </w:tcPr>
          <w:p w14:paraId="5E487407">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施工</w:t>
            </w:r>
          </w:p>
          <w:p w14:paraId="2E47E1D5">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日期</w:t>
            </w:r>
          </w:p>
        </w:tc>
        <w:tc>
          <w:tcPr>
            <w:tcW w:w="335" w:type="pct"/>
            <w:vMerge w:val="restart"/>
            <w:vAlign w:val="center"/>
          </w:tcPr>
          <w:p w14:paraId="67EFE12C">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地面</w:t>
            </w:r>
          </w:p>
          <w:p w14:paraId="0827174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标高（m）</w:t>
            </w:r>
          </w:p>
        </w:tc>
        <w:tc>
          <w:tcPr>
            <w:tcW w:w="263" w:type="pct"/>
            <w:vMerge w:val="restart"/>
            <w:vAlign w:val="center"/>
          </w:tcPr>
          <w:p w14:paraId="46570F6C">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施工工序</w:t>
            </w:r>
          </w:p>
        </w:tc>
        <w:tc>
          <w:tcPr>
            <w:tcW w:w="1243" w:type="pct"/>
            <w:gridSpan w:val="3"/>
            <w:vAlign w:val="center"/>
          </w:tcPr>
          <w:p w14:paraId="48D1751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时间</w:t>
            </w:r>
          </w:p>
        </w:tc>
        <w:tc>
          <w:tcPr>
            <w:tcW w:w="260" w:type="pct"/>
            <w:vMerge w:val="restart"/>
            <w:vAlign w:val="center"/>
          </w:tcPr>
          <w:p w14:paraId="5E3BC45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灌注</w:t>
            </w:r>
          </w:p>
          <w:p w14:paraId="5F008ED8">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压力</w:t>
            </w:r>
          </w:p>
        </w:tc>
        <w:tc>
          <w:tcPr>
            <w:tcW w:w="368" w:type="pct"/>
            <w:vMerge w:val="restart"/>
            <w:vAlign w:val="center"/>
          </w:tcPr>
          <w:p w14:paraId="0C8DDB67">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钻杆旋转速度</w:t>
            </w:r>
          </w:p>
        </w:tc>
        <w:tc>
          <w:tcPr>
            <w:tcW w:w="466" w:type="pct"/>
            <w:vMerge w:val="restart"/>
            <w:vAlign w:val="center"/>
          </w:tcPr>
          <w:p w14:paraId="0A613301">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钻杆下沉/提升速度</w:t>
            </w:r>
          </w:p>
        </w:tc>
        <w:tc>
          <w:tcPr>
            <w:tcW w:w="312" w:type="pct"/>
            <w:vMerge w:val="restart"/>
            <w:vAlign w:val="center"/>
          </w:tcPr>
          <w:p w14:paraId="53DB090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垂直度偏差</w:t>
            </w:r>
          </w:p>
        </w:tc>
        <w:tc>
          <w:tcPr>
            <w:tcW w:w="312" w:type="pct"/>
            <w:vMerge w:val="restart"/>
            <w:vAlign w:val="center"/>
          </w:tcPr>
          <w:p w14:paraId="0AFEAB5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混凝土</w:t>
            </w:r>
          </w:p>
          <w:p w14:paraId="2819077F">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用量</w:t>
            </w:r>
          </w:p>
        </w:tc>
        <w:tc>
          <w:tcPr>
            <w:tcW w:w="370" w:type="pct"/>
            <w:vMerge w:val="restart"/>
            <w:vAlign w:val="center"/>
          </w:tcPr>
          <w:p w14:paraId="0E025056">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终孔电流值（A）</w:t>
            </w:r>
          </w:p>
        </w:tc>
        <w:tc>
          <w:tcPr>
            <w:tcW w:w="251" w:type="pct"/>
            <w:vMerge w:val="restart"/>
            <w:vAlign w:val="center"/>
          </w:tcPr>
          <w:p w14:paraId="79E0A26D">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备注</w:t>
            </w:r>
          </w:p>
        </w:tc>
      </w:tr>
      <w:tr w14:paraId="5DB6D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258" w:type="pct"/>
            <w:vMerge w:val="continue"/>
            <w:vAlign w:val="center"/>
          </w:tcPr>
          <w:p w14:paraId="21FAC401">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continue"/>
            <w:vAlign w:val="center"/>
          </w:tcPr>
          <w:p w14:paraId="6C3FAB6C">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continue"/>
            <w:vAlign w:val="center"/>
          </w:tcPr>
          <w:p w14:paraId="0783907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continue"/>
            <w:vAlign w:val="center"/>
          </w:tcPr>
          <w:p w14:paraId="69A9349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Merge w:val="continue"/>
            <w:vAlign w:val="center"/>
          </w:tcPr>
          <w:p w14:paraId="5739BDF3">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93" w:type="pct"/>
            <w:vAlign w:val="center"/>
          </w:tcPr>
          <w:p w14:paraId="75362AC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起</w:t>
            </w:r>
          </w:p>
        </w:tc>
        <w:tc>
          <w:tcPr>
            <w:tcW w:w="318" w:type="pct"/>
            <w:vAlign w:val="center"/>
          </w:tcPr>
          <w:p w14:paraId="41FA949A">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止</w:t>
            </w:r>
          </w:p>
        </w:tc>
        <w:tc>
          <w:tcPr>
            <w:tcW w:w="532" w:type="pct"/>
            <w:vAlign w:val="center"/>
          </w:tcPr>
          <w:p w14:paraId="4A876DEE">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累计（min）</w:t>
            </w:r>
          </w:p>
        </w:tc>
        <w:tc>
          <w:tcPr>
            <w:tcW w:w="260" w:type="pct"/>
            <w:vMerge w:val="continue"/>
            <w:vAlign w:val="center"/>
          </w:tcPr>
          <w:p w14:paraId="7E56C06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Merge w:val="continue"/>
            <w:vAlign w:val="center"/>
          </w:tcPr>
          <w:p w14:paraId="6C3E4495">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Merge w:val="continue"/>
            <w:vAlign w:val="center"/>
          </w:tcPr>
          <w:p w14:paraId="03EF2F8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54F054D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42A9864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continue"/>
            <w:vAlign w:val="center"/>
          </w:tcPr>
          <w:p w14:paraId="15E322AB">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continue"/>
            <w:vAlign w:val="center"/>
          </w:tcPr>
          <w:p w14:paraId="1AA1B0CE">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79E58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258" w:type="pct"/>
            <w:vMerge w:val="restart"/>
            <w:vAlign w:val="center"/>
          </w:tcPr>
          <w:p w14:paraId="3EB94BC2">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restart"/>
            <w:vAlign w:val="center"/>
          </w:tcPr>
          <w:p w14:paraId="1B4D0AE7">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restart"/>
            <w:vAlign w:val="center"/>
          </w:tcPr>
          <w:p w14:paraId="0796BEE4">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restart"/>
            <w:vAlign w:val="center"/>
          </w:tcPr>
          <w:p w14:paraId="760757E9">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57DE96CC">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下钻</w:t>
            </w:r>
          </w:p>
        </w:tc>
        <w:tc>
          <w:tcPr>
            <w:tcW w:w="393" w:type="pct"/>
            <w:vAlign w:val="center"/>
          </w:tcPr>
          <w:p w14:paraId="5BE093C3">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35E7C38C">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746647F4">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2375B895">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3105C3A5">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7F92F7B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77E9A624">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21EE6A2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restart"/>
            <w:vAlign w:val="center"/>
          </w:tcPr>
          <w:p w14:paraId="5E4C95D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restart"/>
            <w:vAlign w:val="center"/>
          </w:tcPr>
          <w:p w14:paraId="25A52B76">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37F84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258" w:type="pct"/>
            <w:vMerge w:val="continue"/>
            <w:vAlign w:val="center"/>
          </w:tcPr>
          <w:p w14:paraId="6DD707E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continue"/>
            <w:vAlign w:val="center"/>
          </w:tcPr>
          <w:p w14:paraId="197C0B9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continue"/>
            <w:vAlign w:val="center"/>
          </w:tcPr>
          <w:p w14:paraId="307A90E3">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continue"/>
            <w:vAlign w:val="center"/>
          </w:tcPr>
          <w:p w14:paraId="3ABA2E7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43F847A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393" w:type="pct"/>
            <w:vAlign w:val="center"/>
          </w:tcPr>
          <w:p w14:paraId="1745EBE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1B62C207">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2614210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6D7BD69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1798A231">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316FE001">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388F3B5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3536FBD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continue"/>
            <w:vAlign w:val="center"/>
          </w:tcPr>
          <w:p w14:paraId="5C5CC129">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continue"/>
            <w:vAlign w:val="center"/>
          </w:tcPr>
          <w:p w14:paraId="6692A652">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5053B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258" w:type="pct"/>
            <w:vMerge w:val="restart"/>
            <w:vAlign w:val="center"/>
          </w:tcPr>
          <w:p w14:paraId="51550F9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restart"/>
            <w:vAlign w:val="center"/>
          </w:tcPr>
          <w:p w14:paraId="2EF0CE62">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restart"/>
            <w:vAlign w:val="center"/>
          </w:tcPr>
          <w:p w14:paraId="28E9784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restart"/>
            <w:vAlign w:val="center"/>
          </w:tcPr>
          <w:p w14:paraId="670CAE7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6312CE8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393" w:type="pct"/>
            <w:vAlign w:val="center"/>
          </w:tcPr>
          <w:p w14:paraId="160C34C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70900BE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69DF2D7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4B919A4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05048DD4">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4A732F6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5996BAF5">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213253B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restart"/>
            <w:vAlign w:val="center"/>
          </w:tcPr>
          <w:p w14:paraId="29E2B823">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restart"/>
            <w:vAlign w:val="center"/>
          </w:tcPr>
          <w:p w14:paraId="71A02391">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237B3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4" w:hRule="atLeast"/>
        </w:trPr>
        <w:tc>
          <w:tcPr>
            <w:tcW w:w="258" w:type="pct"/>
            <w:vMerge w:val="continue"/>
            <w:vAlign w:val="center"/>
          </w:tcPr>
          <w:p w14:paraId="0A102B99">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continue"/>
            <w:vAlign w:val="center"/>
          </w:tcPr>
          <w:p w14:paraId="4C6197D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continue"/>
            <w:vAlign w:val="center"/>
          </w:tcPr>
          <w:p w14:paraId="4DA9EFB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continue"/>
            <w:vAlign w:val="center"/>
          </w:tcPr>
          <w:p w14:paraId="19A33B2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7745FE7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393" w:type="pct"/>
            <w:vAlign w:val="center"/>
          </w:tcPr>
          <w:p w14:paraId="32EC9D1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0D9C406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079A2EB7">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604E91E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3B5ADD37">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1650F13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0D38691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0A0118D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continue"/>
            <w:vAlign w:val="center"/>
          </w:tcPr>
          <w:p w14:paraId="22660CC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continue"/>
            <w:vAlign w:val="center"/>
          </w:tcPr>
          <w:p w14:paraId="101A4268">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627AC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58" w:type="pct"/>
            <w:vMerge w:val="restart"/>
            <w:vAlign w:val="center"/>
          </w:tcPr>
          <w:p w14:paraId="59B4B94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restart"/>
            <w:vAlign w:val="center"/>
          </w:tcPr>
          <w:p w14:paraId="68FEDF84">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restart"/>
            <w:vAlign w:val="center"/>
          </w:tcPr>
          <w:p w14:paraId="66BDD831">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restart"/>
            <w:vAlign w:val="center"/>
          </w:tcPr>
          <w:p w14:paraId="10F7BA6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37495E6B">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393" w:type="pct"/>
            <w:vAlign w:val="center"/>
          </w:tcPr>
          <w:p w14:paraId="6CD05BA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13A4A85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0657DCD4">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426C174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6B981AF7">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349E1AD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28872B5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78A71AF9">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restart"/>
            <w:vAlign w:val="center"/>
          </w:tcPr>
          <w:p w14:paraId="7D16285B">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restart"/>
            <w:vAlign w:val="center"/>
          </w:tcPr>
          <w:p w14:paraId="0AF828B6">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77ED9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258" w:type="pct"/>
            <w:vMerge w:val="continue"/>
            <w:vAlign w:val="center"/>
          </w:tcPr>
          <w:p w14:paraId="3B0BC5C4">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continue"/>
            <w:vAlign w:val="center"/>
          </w:tcPr>
          <w:p w14:paraId="5428632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continue"/>
            <w:vAlign w:val="center"/>
          </w:tcPr>
          <w:p w14:paraId="50795705">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continue"/>
            <w:vAlign w:val="center"/>
          </w:tcPr>
          <w:p w14:paraId="50257809">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52CE8F93">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393" w:type="pct"/>
            <w:vAlign w:val="center"/>
          </w:tcPr>
          <w:p w14:paraId="5748F66B">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07A8955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68D27C89">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6E67A96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02D0CED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25B2FE12">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2B5E614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6349E935">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continue"/>
            <w:vAlign w:val="center"/>
          </w:tcPr>
          <w:p w14:paraId="2008BA14">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continue"/>
            <w:vAlign w:val="center"/>
          </w:tcPr>
          <w:p w14:paraId="253FD014">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20D66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58" w:type="pct"/>
            <w:vMerge w:val="restart"/>
            <w:vAlign w:val="center"/>
          </w:tcPr>
          <w:p w14:paraId="066712C1">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restart"/>
            <w:vAlign w:val="center"/>
          </w:tcPr>
          <w:p w14:paraId="2513E39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restart"/>
            <w:vAlign w:val="center"/>
          </w:tcPr>
          <w:p w14:paraId="1A38ADD9">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restart"/>
            <w:vAlign w:val="center"/>
          </w:tcPr>
          <w:p w14:paraId="5153E24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1AB86EA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393" w:type="pct"/>
            <w:vAlign w:val="center"/>
          </w:tcPr>
          <w:p w14:paraId="64D179B2">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522399F5">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0053997C">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6FBA907B">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1B5AD823">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29DC1CB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01FF22F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37E1EAC3">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restart"/>
            <w:vAlign w:val="center"/>
          </w:tcPr>
          <w:p w14:paraId="34805D7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restart"/>
            <w:vAlign w:val="center"/>
          </w:tcPr>
          <w:p w14:paraId="1B37CEB7">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497B5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258" w:type="pct"/>
            <w:vMerge w:val="continue"/>
            <w:vAlign w:val="center"/>
          </w:tcPr>
          <w:p w14:paraId="4C3FDEC4">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continue"/>
            <w:vAlign w:val="center"/>
          </w:tcPr>
          <w:p w14:paraId="75F43A37">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continue"/>
            <w:vAlign w:val="center"/>
          </w:tcPr>
          <w:p w14:paraId="3C9E376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continue"/>
            <w:vAlign w:val="center"/>
          </w:tcPr>
          <w:p w14:paraId="7425668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60F8FC0E">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393" w:type="pct"/>
            <w:vAlign w:val="center"/>
          </w:tcPr>
          <w:p w14:paraId="65CC3DD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7417ABB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4AAC81D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74855FA2">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6CCF011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297E508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64FDFBE2">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3BD1B93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continue"/>
            <w:vAlign w:val="center"/>
          </w:tcPr>
          <w:p w14:paraId="385A7BFB">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continue"/>
            <w:vAlign w:val="center"/>
          </w:tcPr>
          <w:p w14:paraId="5A33CF37">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6668F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258" w:type="pct"/>
            <w:vMerge w:val="restart"/>
            <w:vAlign w:val="center"/>
          </w:tcPr>
          <w:p w14:paraId="7733D7C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restart"/>
            <w:vAlign w:val="center"/>
          </w:tcPr>
          <w:p w14:paraId="14921C17">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restart"/>
            <w:vAlign w:val="center"/>
          </w:tcPr>
          <w:p w14:paraId="266BD2E5">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restart"/>
            <w:vAlign w:val="center"/>
          </w:tcPr>
          <w:p w14:paraId="5120CEC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63AE3DA3">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393" w:type="pct"/>
            <w:vAlign w:val="center"/>
          </w:tcPr>
          <w:p w14:paraId="1FC6651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5EF49C04">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75C7F0C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5999E209">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36A0634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1FFA2EA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0BAC265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739C59A7">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restart"/>
            <w:vAlign w:val="center"/>
          </w:tcPr>
          <w:p w14:paraId="78333DF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restart"/>
            <w:vAlign w:val="center"/>
          </w:tcPr>
          <w:p w14:paraId="48EC84A7">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64599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258" w:type="pct"/>
            <w:vMerge w:val="continue"/>
            <w:vAlign w:val="center"/>
          </w:tcPr>
          <w:p w14:paraId="2865B82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continue"/>
            <w:vAlign w:val="center"/>
          </w:tcPr>
          <w:p w14:paraId="0CE8CC2B">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continue"/>
            <w:vAlign w:val="center"/>
          </w:tcPr>
          <w:p w14:paraId="44E7C24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continue"/>
            <w:vAlign w:val="center"/>
          </w:tcPr>
          <w:p w14:paraId="239FA821">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6543D93A">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393" w:type="pct"/>
            <w:vAlign w:val="center"/>
          </w:tcPr>
          <w:p w14:paraId="7EF31CF1">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7685751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7F26AD45">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750875B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5C9F35FB">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0B9B2A63">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0E71B11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022C5515">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continue"/>
            <w:vAlign w:val="center"/>
          </w:tcPr>
          <w:p w14:paraId="31293D8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continue"/>
            <w:vAlign w:val="center"/>
          </w:tcPr>
          <w:p w14:paraId="7510773A">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53032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258" w:type="pct"/>
            <w:vMerge w:val="restart"/>
            <w:vAlign w:val="center"/>
          </w:tcPr>
          <w:p w14:paraId="64480DB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restart"/>
            <w:vAlign w:val="center"/>
          </w:tcPr>
          <w:p w14:paraId="2D396C8B">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restart"/>
            <w:vAlign w:val="center"/>
          </w:tcPr>
          <w:p w14:paraId="68675C7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restart"/>
            <w:vAlign w:val="center"/>
          </w:tcPr>
          <w:p w14:paraId="454459C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6D3C3C0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下沉</w:t>
            </w:r>
          </w:p>
        </w:tc>
        <w:tc>
          <w:tcPr>
            <w:tcW w:w="393" w:type="pct"/>
            <w:vAlign w:val="center"/>
          </w:tcPr>
          <w:p w14:paraId="3F69954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469A283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19DCD97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6402C0A3">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7EC72DC5">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178765D9">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774244FD">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restart"/>
            <w:vAlign w:val="center"/>
          </w:tcPr>
          <w:p w14:paraId="7720078F">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restart"/>
            <w:vAlign w:val="center"/>
          </w:tcPr>
          <w:p w14:paraId="5FD67522">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restart"/>
            <w:vAlign w:val="center"/>
          </w:tcPr>
          <w:p w14:paraId="150C8C25">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r w14:paraId="40F8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258" w:type="pct"/>
            <w:vMerge w:val="continue"/>
            <w:vAlign w:val="center"/>
          </w:tcPr>
          <w:p w14:paraId="7035D0E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76" w:type="pct"/>
            <w:vMerge w:val="continue"/>
            <w:vAlign w:val="center"/>
          </w:tcPr>
          <w:p w14:paraId="48D1CB4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82" w:type="pct"/>
            <w:vMerge w:val="continue"/>
            <w:vAlign w:val="center"/>
          </w:tcPr>
          <w:p w14:paraId="670E906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35" w:type="pct"/>
            <w:vMerge w:val="continue"/>
            <w:vAlign w:val="center"/>
          </w:tcPr>
          <w:p w14:paraId="602FED2A">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3" w:type="pct"/>
            <w:vAlign w:val="center"/>
          </w:tcPr>
          <w:p w14:paraId="32B2DDD7">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提升</w:t>
            </w:r>
          </w:p>
        </w:tc>
        <w:tc>
          <w:tcPr>
            <w:tcW w:w="393" w:type="pct"/>
            <w:vAlign w:val="center"/>
          </w:tcPr>
          <w:p w14:paraId="46CB7206">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8" w:type="pct"/>
            <w:vAlign w:val="center"/>
          </w:tcPr>
          <w:p w14:paraId="63397BAC">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532" w:type="pct"/>
            <w:vAlign w:val="center"/>
          </w:tcPr>
          <w:p w14:paraId="42EC5721">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60" w:type="pct"/>
            <w:vAlign w:val="center"/>
          </w:tcPr>
          <w:p w14:paraId="6AC0EC00">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68" w:type="pct"/>
            <w:vAlign w:val="center"/>
          </w:tcPr>
          <w:p w14:paraId="10FDD9A3">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466" w:type="pct"/>
            <w:vAlign w:val="center"/>
          </w:tcPr>
          <w:p w14:paraId="65C21961">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27BC28A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12" w:type="pct"/>
            <w:vMerge w:val="continue"/>
            <w:vAlign w:val="center"/>
          </w:tcPr>
          <w:p w14:paraId="330A9E6E">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370" w:type="pct"/>
            <w:vMerge w:val="continue"/>
            <w:vAlign w:val="center"/>
          </w:tcPr>
          <w:p w14:paraId="764D0AF8">
            <w:pPr>
              <w:jc w:val="center"/>
              <w:rPr>
                <w:rFonts w:ascii="Times New Roman" w:hAnsi="Times New Roman" w:eastAsiaTheme="minorEastAsia"/>
                <w:color w:val="000000" w:themeColor="text1"/>
                <w:sz w:val="15"/>
                <w:szCs w:val="15"/>
                <w:highlight w:val="none"/>
                <w14:textFill>
                  <w14:solidFill>
                    <w14:schemeClr w14:val="tx1"/>
                  </w14:solidFill>
                </w14:textFill>
              </w:rPr>
            </w:pPr>
          </w:p>
        </w:tc>
        <w:tc>
          <w:tcPr>
            <w:tcW w:w="251" w:type="pct"/>
            <w:vMerge w:val="continue"/>
            <w:vAlign w:val="center"/>
          </w:tcPr>
          <w:p w14:paraId="0AAD0F39">
            <w:pPr>
              <w:jc w:val="center"/>
              <w:rPr>
                <w:rFonts w:ascii="Times New Roman" w:hAnsi="Times New Roman" w:eastAsiaTheme="minorEastAsia"/>
                <w:color w:val="000000" w:themeColor="text1"/>
                <w:sz w:val="15"/>
                <w:szCs w:val="15"/>
                <w:highlight w:val="none"/>
                <w14:textFill>
                  <w14:solidFill>
                    <w14:schemeClr w14:val="tx1"/>
                  </w14:solidFill>
                </w14:textFill>
              </w:rPr>
            </w:pPr>
          </w:p>
        </w:tc>
      </w:tr>
    </w:tbl>
    <w:p w14:paraId="49ED640A">
      <w:pPr>
        <w:rPr>
          <w:rFonts w:ascii="Times New Roman" w:hAnsi="Times New Roman"/>
          <w:highlight w:val="none"/>
        </w:rPr>
        <w:sectPr>
          <w:footerReference r:id="rId5" w:type="default"/>
          <w:pgSz w:w="11510" w:h="7938" w:orient="landscape"/>
          <w:pgMar w:top="850" w:right="1134" w:bottom="850" w:left="1418" w:header="851" w:footer="851" w:gutter="0"/>
          <w:pgBorders>
            <w:top w:val="none" w:sz="0" w:space="0"/>
            <w:left w:val="none" w:sz="0" w:space="0"/>
            <w:bottom w:val="none" w:sz="0" w:space="0"/>
            <w:right w:val="none" w:sz="0" w:space="0"/>
          </w:pgBorders>
          <w:cols w:space="720" w:num="1"/>
          <w:docGrid w:type="lines" w:linePitch="312" w:charSpace="0"/>
        </w:sectPr>
      </w:pPr>
      <w:bookmarkStart w:id="169" w:name="_Toc245028960"/>
      <w:bookmarkStart w:id="170" w:name="_Toc478810171"/>
      <w:bookmarkStart w:id="171" w:name="_Toc246820976"/>
      <w:bookmarkStart w:id="172" w:name="_Toc478803314"/>
      <w:bookmarkStart w:id="173" w:name="_Toc478810140"/>
      <w:bookmarkStart w:id="174" w:name="_Toc244658505"/>
      <w:bookmarkStart w:id="175" w:name="_Toc478803282"/>
      <w:bookmarkStart w:id="176" w:name="_Toc245029163"/>
      <w:bookmarkStart w:id="177" w:name="_Toc246392760"/>
      <w:bookmarkStart w:id="178" w:name="_Toc244658871"/>
    </w:p>
    <w:bookmarkEnd w:id="169"/>
    <w:bookmarkEnd w:id="170"/>
    <w:bookmarkEnd w:id="171"/>
    <w:bookmarkEnd w:id="172"/>
    <w:bookmarkEnd w:id="173"/>
    <w:bookmarkEnd w:id="174"/>
    <w:bookmarkEnd w:id="175"/>
    <w:bookmarkEnd w:id="176"/>
    <w:bookmarkEnd w:id="177"/>
    <w:bookmarkEnd w:id="178"/>
    <w:p w14:paraId="35C13921">
      <w:pPr>
        <w:pStyle w:val="2"/>
        <w:spacing w:before="156" w:after="156"/>
        <w:rPr>
          <w:rFonts w:ascii="Times New Roman" w:hAnsi="Times New Roman"/>
          <w:highlight w:val="none"/>
        </w:rPr>
      </w:pPr>
      <w:bookmarkStart w:id="179" w:name="_Toc23005"/>
      <w:bookmarkStart w:id="180" w:name="_Toc15337"/>
      <w:bookmarkStart w:id="181" w:name="_Toc93562340"/>
      <w:bookmarkStart w:id="182" w:name="_Toc91418682"/>
      <w:bookmarkStart w:id="183" w:name="_Toc478803315"/>
      <w:bookmarkStart w:id="184" w:name="_Toc478810172"/>
      <w:r>
        <w:rPr>
          <w:rFonts w:hint="default" w:ascii="Times New Roman" w:hAnsi="Times New Roman"/>
          <w:highlight w:val="none"/>
        </w:rPr>
        <w:t>附录B</w:t>
      </w:r>
      <w:r>
        <w:rPr>
          <w:rFonts w:ascii="Times New Roman" w:hAnsi="Times New Roman"/>
          <w:highlight w:val="none"/>
        </w:rPr>
        <w:t xml:space="preserve"> </w:t>
      </w:r>
      <w:r>
        <w:rPr>
          <w:rFonts w:hint="default" w:ascii="Times New Roman" w:hAnsi="Times New Roman"/>
          <w:highlight w:val="none"/>
        </w:rPr>
        <w:t xml:space="preserve"> 预制桩施工记录表</w:t>
      </w:r>
      <w:bookmarkEnd w:id="179"/>
      <w:bookmarkEnd w:id="180"/>
      <w:bookmarkEnd w:id="181"/>
      <w:bookmarkEnd w:id="182"/>
    </w:p>
    <w:p w14:paraId="366DFCE9">
      <w:pPr>
        <w:jc w:val="center"/>
        <w:rPr>
          <w:rFonts w:hint="default" w:ascii="Times New Roman" w:hAnsi="Times New Roman"/>
          <w:b/>
          <w:sz w:val="20"/>
          <w:szCs w:val="20"/>
          <w:highlight w:val="none"/>
        </w:rPr>
      </w:pPr>
      <w:r>
        <w:rPr>
          <w:rFonts w:hint="default" w:ascii="Times New Roman" w:hAnsi="Times New Roman"/>
          <w:b/>
          <w:sz w:val="20"/>
          <w:szCs w:val="20"/>
          <w:highlight w:val="none"/>
        </w:rPr>
        <w:t>表B.1 锤击沉桩施工记录表</w:t>
      </w:r>
    </w:p>
    <w:p w14:paraId="056844BD">
      <w:pPr>
        <w:rPr>
          <w:rFonts w:ascii="Times New Roman" w:hAnsi="Times New Roman"/>
          <w:sz w:val="15"/>
          <w:szCs w:val="13"/>
          <w:highlight w:val="none"/>
        </w:rPr>
      </w:pPr>
      <w:r>
        <w:rPr>
          <w:rFonts w:hint="default" w:ascii="Times New Roman" w:hAnsi="Times New Roman"/>
          <w:sz w:val="15"/>
          <w:szCs w:val="13"/>
          <w:highlight w:val="none"/>
        </w:rPr>
        <w:t>工程名称：        桩基规格型号：       桩锤类型：        单桩承载力特征值：</w:t>
      </w:r>
    </w:p>
    <w:p w14:paraId="0DB192BE">
      <w:pPr>
        <w:rPr>
          <w:rFonts w:ascii="Times New Roman" w:hAnsi="Times New Roman"/>
          <w:sz w:val="15"/>
          <w:szCs w:val="13"/>
          <w:highlight w:val="none"/>
        </w:rPr>
      </w:pPr>
      <w:r>
        <w:rPr>
          <w:rFonts w:hint="default" w:ascii="Times New Roman" w:hAnsi="Times New Roman"/>
          <w:sz w:val="15"/>
          <w:szCs w:val="13"/>
          <w:highlight w:val="none"/>
        </w:rPr>
        <w:t xml:space="preserve">施工单位：        混凝土强度：         桩尖类型：        </w:t>
      </w:r>
      <w:r>
        <w:rPr>
          <w:rFonts w:hint="eastAsia" w:ascii="Times New Roman" w:hAnsi="Times New Roman"/>
          <w:sz w:val="15"/>
          <w:szCs w:val="13"/>
          <w:highlight w:val="none"/>
          <w:lang w:val="en-US" w:eastAsia="zh-CN"/>
        </w:rPr>
        <w:t xml:space="preserve">     </w:t>
      </w:r>
      <w:r>
        <w:rPr>
          <w:rFonts w:hint="default" w:ascii="Times New Roman" w:hAnsi="Times New Roman"/>
          <w:sz w:val="15"/>
          <w:szCs w:val="13"/>
          <w:highlight w:val="none"/>
        </w:rPr>
        <w:t xml:space="preserve"> 年 </w:t>
      </w:r>
      <w:r>
        <w:rPr>
          <w:rFonts w:hint="default" w:ascii="Times New Roman" w:hAnsi="Times New Roman"/>
          <w:sz w:val="15"/>
          <w:szCs w:val="13"/>
          <w:highlight w:val="none"/>
          <w:lang w:val="en-US" w:eastAsia="zh-CN"/>
        </w:rPr>
        <w:t xml:space="preserve"> </w:t>
      </w:r>
      <w:r>
        <w:rPr>
          <w:rFonts w:hint="default" w:ascii="Times New Roman" w:hAnsi="Times New Roman"/>
          <w:sz w:val="15"/>
          <w:szCs w:val="13"/>
          <w:highlight w:val="none"/>
        </w:rPr>
        <w:t xml:space="preserve"> 月  </w:t>
      </w:r>
      <w:r>
        <w:rPr>
          <w:rFonts w:hint="default" w:ascii="Times New Roman" w:hAnsi="Times New Roman"/>
          <w:sz w:val="15"/>
          <w:szCs w:val="13"/>
          <w:highlight w:val="none"/>
          <w:lang w:val="en-US" w:eastAsia="zh-CN"/>
        </w:rPr>
        <w:t xml:space="preserve"> </w:t>
      </w:r>
      <w:r>
        <w:rPr>
          <w:rFonts w:hint="default" w:ascii="Times New Roman" w:hAnsi="Times New Roman"/>
          <w:sz w:val="15"/>
          <w:szCs w:val="13"/>
          <w:highlight w:val="none"/>
        </w:rPr>
        <w:t xml:space="preserve"> 日</w:t>
      </w:r>
    </w:p>
    <w:tbl>
      <w:tblPr>
        <w:tblStyle w:val="49"/>
        <w:tblW w:w="487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
        <w:gridCol w:w="399"/>
        <w:gridCol w:w="610"/>
        <w:gridCol w:w="710"/>
        <w:gridCol w:w="850"/>
        <w:gridCol w:w="690"/>
        <w:gridCol w:w="670"/>
        <w:gridCol w:w="670"/>
        <w:gridCol w:w="670"/>
        <w:gridCol w:w="771"/>
        <w:gridCol w:w="410"/>
        <w:gridCol w:w="480"/>
        <w:gridCol w:w="399"/>
        <w:gridCol w:w="549"/>
        <w:gridCol w:w="641"/>
        <w:gridCol w:w="361"/>
      </w:tblGrid>
      <w:tr w14:paraId="077FD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86" w:type="pct"/>
            <w:vMerge w:val="restart"/>
            <w:vAlign w:val="center"/>
          </w:tcPr>
          <w:p w14:paraId="040C99C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序号</w:t>
            </w:r>
          </w:p>
        </w:tc>
        <w:tc>
          <w:tcPr>
            <w:tcW w:w="216" w:type="pct"/>
            <w:vMerge w:val="restart"/>
            <w:vAlign w:val="center"/>
          </w:tcPr>
          <w:p w14:paraId="7269116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桩号</w:t>
            </w:r>
          </w:p>
        </w:tc>
        <w:tc>
          <w:tcPr>
            <w:tcW w:w="330" w:type="pct"/>
            <w:vMerge w:val="restart"/>
            <w:vAlign w:val="center"/>
          </w:tcPr>
          <w:p w14:paraId="0C73314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施工日期</w:t>
            </w:r>
          </w:p>
        </w:tc>
        <w:tc>
          <w:tcPr>
            <w:tcW w:w="384" w:type="pct"/>
            <w:vMerge w:val="restart"/>
            <w:vAlign w:val="center"/>
          </w:tcPr>
          <w:p w14:paraId="6A746CE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桩径</w:t>
            </w:r>
          </w:p>
          <w:p w14:paraId="408E2CCD">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（mm）</w:t>
            </w:r>
          </w:p>
        </w:tc>
        <w:tc>
          <w:tcPr>
            <w:tcW w:w="460" w:type="pct"/>
            <w:vMerge w:val="restart"/>
            <w:vAlign w:val="center"/>
          </w:tcPr>
          <w:p w14:paraId="7EF9491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入土</w:t>
            </w:r>
          </w:p>
          <w:p w14:paraId="5459A31B">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深度（m）</w:t>
            </w:r>
          </w:p>
        </w:tc>
        <w:tc>
          <w:tcPr>
            <w:tcW w:w="373" w:type="pct"/>
            <w:vMerge w:val="restart"/>
            <w:vAlign w:val="center"/>
          </w:tcPr>
          <w:p w14:paraId="7AEF753C">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桩顶设计标高</w:t>
            </w:r>
          </w:p>
        </w:tc>
        <w:tc>
          <w:tcPr>
            <w:tcW w:w="1089" w:type="pct"/>
            <w:gridSpan w:val="3"/>
            <w:vAlign w:val="center"/>
          </w:tcPr>
          <w:p w14:paraId="556459E3">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配桩长度（m）</w:t>
            </w:r>
          </w:p>
        </w:tc>
        <w:tc>
          <w:tcPr>
            <w:tcW w:w="417" w:type="pct"/>
            <w:vMerge w:val="restart"/>
            <w:vAlign w:val="center"/>
          </w:tcPr>
          <w:p w14:paraId="25C32C1D">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送桩深度（m）</w:t>
            </w:r>
          </w:p>
        </w:tc>
        <w:tc>
          <w:tcPr>
            <w:tcW w:w="699" w:type="pct"/>
            <w:gridSpan w:val="3"/>
            <w:vMerge w:val="restart"/>
            <w:vAlign w:val="center"/>
          </w:tcPr>
          <w:p w14:paraId="67983358">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最后沉锤贯入</w:t>
            </w:r>
          </w:p>
          <w:p w14:paraId="09A6A491">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（mm/10击）</w:t>
            </w:r>
          </w:p>
        </w:tc>
        <w:tc>
          <w:tcPr>
            <w:tcW w:w="298" w:type="pct"/>
            <w:vMerge w:val="restart"/>
            <w:vAlign w:val="center"/>
          </w:tcPr>
          <w:p w14:paraId="599DB78A">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总锤击数</w:t>
            </w:r>
          </w:p>
        </w:tc>
        <w:tc>
          <w:tcPr>
            <w:tcW w:w="347" w:type="pct"/>
            <w:vMerge w:val="restart"/>
            <w:vAlign w:val="center"/>
          </w:tcPr>
          <w:p w14:paraId="0D96677C">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爆锤米数</w:t>
            </w:r>
          </w:p>
        </w:tc>
        <w:tc>
          <w:tcPr>
            <w:tcW w:w="195" w:type="pct"/>
            <w:vMerge w:val="restart"/>
            <w:vAlign w:val="center"/>
          </w:tcPr>
          <w:p w14:paraId="3080B8E1">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备注</w:t>
            </w:r>
          </w:p>
        </w:tc>
      </w:tr>
      <w:tr w14:paraId="59538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186" w:type="pct"/>
            <w:vMerge w:val="continue"/>
            <w:vAlign w:val="center"/>
          </w:tcPr>
          <w:p w14:paraId="493F2A31">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16" w:type="pct"/>
            <w:vMerge w:val="continue"/>
            <w:vAlign w:val="center"/>
          </w:tcPr>
          <w:p w14:paraId="1781FB77">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30" w:type="pct"/>
            <w:vMerge w:val="continue"/>
            <w:vAlign w:val="center"/>
          </w:tcPr>
          <w:p w14:paraId="0788E3DA">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84" w:type="pct"/>
            <w:vMerge w:val="continue"/>
            <w:vAlign w:val="center"/>
          </w:tcPr>
          <w:p w14:paraId="671A3D07">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460" w:type="pct"/>
            <w:vMerge w:val="continue"/>
            <w:vAlign w:val="center"/>
          </w:tcPr>
          <w:p w14:paraId="532D6D18">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73" w:type="pct"/>
            <w:vMerge w:val="continue"/>
            <w:vAlign w:val="center"/>
          </w:tcPr>
          <w:p w14:paraId="2EABD7F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63" w:type="pct"/>
            <w:vAlign w:val="center"/>
          </w:tcPr>
          <w:p w14:paraId="5C18D177">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第一节</w:t>
            </w:r>
          </w:p>
        </w:tc>
        <w:tc>
          <w:tcPr>
            <w:tcW w:w="363" w:type="pct"/>
            <w:vAlign w:val="center"/>
          </w:tcPr>
          <w:p w14:paraId="091F2428">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第二节</w:t>
            </w:r>
          </w:p>
        </w:tc>
        <w:tc>
          <w:tcPr>
            <w:tcW w:w="363" w:type="pct"/>
            <w:vAlign w:val="center"/>
          </w:tcPr>
          <w:p w14:paraId="3C620B3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第三节</w:t>
            </w:r>
          </w:p>
        </w:tc>
        <w:tc>
          <w:tcPr>
            <w:tcW w:w="417" w:type="pct"/>
            <w:vMerge w:val="continue"/>
            <w:vAlign w:val="center"/>
          </w:tcPr>
          <w:p w14:paraId="715F7BDE">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699" w:type="pct"/>
            <w:gridSpan w:val="3"/>
            <w:vMerge w:val="continue"/>
            <w:vAlign w:val="center"/>
          </w:tcPr>
          <w:p w14:paraId="0704DEB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98" w:type="pct"/>
            <w:vMerge w:val="continue"/>
            <w:vAlign w:val="center"/>
          </w:tcPr>
          <w:p w14:paraId="7915020F">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47" w:type="pct"/>
            <w:vMerge w:val="continue"/>
            <w:vAlign w:val="center"/>
          </w:tcPr>
          <w:p w14:paraId="613FE54A">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195" w:type="pct"/>
            <w:vMerge w:val="continue"/>
            <w:vAlign w:val="center"/>
          </w:tcPr>
          <w:p w14:paraId="6D260096">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r>
      <w:tr w14:paraId="109B3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86" w:type="pct"/>
            <w:vAlign w:val="center"/>
          </w:tcPr>
          <w:p w14:paraId="75E29E6D">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16" w:type="pct"/>
            <w:vAlign w:val="center"/>
          </w:tcPr>
          <w:p w14:paraId="5294582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30" w:type="pct"/>
            <w:vAlign w:val="center"/>
          </w:tcPr>
          <w:p w14:paraId="763D6BC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84" w:type="pct"/>
            <w:vAlign w:val="center"/>
          </w:tcPr>
          <w:p w14:paraId="6DCD465E">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460" w:type="pct"/>
            <w:vAlign w:val="center"/>
          </w:tcPr>
          <w:p w14:paraId="76206F3F">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73" w:type="pct"/>
            <w:vAlign w:val="center"/>
          </w:tcPr>
          <w:p w14:paraId="68C7F8B2">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63" w:type="pct"/>
            <w:vAlign w:val="center"/>
          </w:tcPr>
          <w:p w14:paraId="5B3AE97E">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63" w:type="pct"/>
            <w:vAlign w:val="center"/>
          </w:tcPr>
          <w:p w14:paraId="7A3239C6">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63" w:type="pct"/>
            <w:vAlign w:val="center"/>
          </w:tcPr>
          <w:p w14:paraId="1AFB2333">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417" w:type="pct"/>
            <w:vAlign w:val="center"/>
          </w:tcPr>
          <w:p w14:paraId="56227996">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22" w:type="pct"/>
            <w:vAlign w:val="center"/>
          </w:tcPr>
          <w:p w14:paraId="54597986">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60" w:type="pct"/>
            <w:vAlign w:val="center"/>
          </w:tcPr>
          <w:p w14:paraId="44DFD272">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16" w:type="pct"/>
            <w:vAlign w:val="center"/>
          </w:tcPr>
          <w:p w14:paraId="388448E3">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98" w:type="pct"/>
            <w:vAlign w:val="center"/>
          </w:tcPr>
          <w:p w14:paraId="43DF0A09">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47" w:type="pct"/>
            <w:vAlign w:val="center"/>
          </w:tcPr>
          <w:p w14:paraId="5E3070FA">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195" w:type="pct"/>
            <w:vAlign w:val="center"/>
          </w:tcPr>
          <w:p w14:paraId="001456C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r>
      <w:tr w14:paraId="1F661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6" w:type="pct"/>
            <w:vAlign w:val="center"/>
          </w:tcPr>
          <w:p w14:paraId="262CD42D">
            <w:pPr>
              <w:jc w:val="center"/>
              <w:rPr>
                <w:rFonts w:ascii="Times New Roman" w:hAnsi="Times New Roman" w:cs="Times New Roman"/>
                <w:sz w:val="15"/>
                <w:szCs w:val="13"/>
                <w:highlight w:val="none"/>
              </w:rPr>
            </w:pPr>
          </w:p>
        </w:tc>
        <w:tc>
          <w:tcPr>
            <w:tcW w:w="216" w:type="pct"/>
            <w:vAlign w:val="center"/>
          </w:tcPr>
          <w:p w14:paraId="04AF6774">
            <w:pPr>
              <w:jc w:val="center"/>
              <w:rPr>
                <w:rFonts w:ascii="Times New Roman" w:hAnsi="Times New Roman" w:cs="Times New Roman"/>
                <w:sz w:val="15"/>
                <w:szCs w:val="13"/>
                <w:highlight w:val="none"/>
              </w:rPr>
            </w:pPr>
          </w:p>
        </w:tc>
        <w:tc>
          <w:tcPr>
            <w:tcW w:w="330" w:type="pct"/>
            <w:vAlign w:val="center"/>
          </w:tcPr>
          <w:p w14:paraId="200916CA">
            <w:pPr>
              <w:jc w:val="center"/>
              <w:rPr>
                <w:rFonts w:ascii="Times New Roman" w:hAnsi="Times New Roman" w:cs="Times New Roman"/>
                <w:sz w:val="15"/>
                <w:szCs w:val="13"/>
                <w:highlight w:val="none"/>
              </w:rPr>
            </w:pPr>
          </w:p>
        </w:tc>
        <w:tc>
          <w:tcPr>
            <w:tcW w:w="384" w:type="pct"/>
            <w:vAlign w:val="center"/>
          </w:tcPr>
          <w:p w14:paraId="03861145">
            <w:pPr>
              <w:jc w:val="center"/>
              <w:rPr>
                <w:rFonts w:ascii="Times New Roman" w:hAnsi="Times New Roman" w:cs="Times New Roman"/>
                <w:sz w:val="15"/>
                <w:szCs w:val="13"/>
                <w:highlight w:val="none"/>
              </w:rPr>
            </w:pPr>
          </w:p>
        </w:tc>
        <w:tc>
          <w:tcPr>
            <w:tcW w:w="460" w:type="pct"/>
            <w:vAlign w:val="center"/>
          </w:tcPr>
          <w:p w14:paraId="7BA4E4A2">
            <w:pPr>
              <w:jc w:val="center"/>
              <w:rPr>
                <w:rFonts w:ascii="Times New Roman" w:hAnsi="Times New Roman" w:cs="Times New Roman"/>
                <w:sz w:val="15"/>
                <w:szCs w:val="13"/>
                <w:highlight w:val="none"/>
              </w:rPr>
            </w:pPr>
          </w:p>
        </w:tc>
        <w:tc>
          <w:tcPr>
            <w:tcW w:w="373" w:type="pct"/>
            <w:vAlign w:val="center"/>
          </w:tcPr>
          <w:p w14:paraId="4F071D13">
            <w:pPr>
              <w:jc w:val="center"/>
              <w:rPr>
                <w:rFonts w:ascii="Times New Roman" w:hAnsi="Times New Roman" w:cs="Times New Roman"/>
                <w:sz w:val="15"/>
                <w:szCs w:val="13"/>
                <w:highlight w:val="none"/>
              </w:rPr>
            </w:pPr>
          </w:p>
        </w:tc>
        <w:tc>
          <w:tcPr>
            <w:tcW w:w="363" w:type="pct"/>
            <w:vAlign w:val="center"/>
          </w:tcPr>
          <w:p w14:paraId="7B679CC8">
            <w:pPr>
              <w:jc w:val="center"/>
              <w:rPr>
                <w:rFonts w:ascii="Times New Roman" w:hAnsi="Times New Roman" w:cs="Times New Roman"/>
                <w:sz w:val="15"/>
                <w:szCs w:val="13"/>
                <w:highlight w:val="none"/>
              </w:rPr>
            </w:pPr>
          </w:p>
        </w:tc>
        <w:tc>
          <w:tcPr>
            <w:tcW w:w="363" w:type="pct"/>
            <w:vAlign w:val="center"/>
          </w:tcPr>
          <w:p w14:paraId="79E93950">
            <w:pPr>
              <w:jc w:val="center"/>
              <w:rPr>
                <w:rFonts w:ascii="Times New Roman" w:hAnsi="Times New Roman" w:cs="Times New Roman"/>
                <w:sz w:val="15"/>
                <w:szCs w:val="13"/>
                <w:highlight w:val="none"/>
              </w:rPr>
            </w:pPr>
          </w:p>
        </w:tc>
        <w:tc>
          <w:tcPr>
            <w:tcW w:w="363" w:type="pct"/>
            <w:vAlign w:val="center"/>
          </w:tcPr>
          <w:p w14:paraId="0FA5A249">
            <w:pPr>
              <w:jc w:val="center"/>
              <w:rPr>
                <w:rFonts w:ascii="Times New Roman" w:hAnsi="Times New Roman" w:cs="Times New Roman"/>
                <w:sz w:val="15"/>
                <w:szCs w:val="13"/>
                <w:highlight w:val="none"/>
              </w:rPr>
            </w:pPr>
          </w:p>
        </w:tc>
        <w:tc>
          <w:tcPr>
            <w:tcW w:w="417" w:type="pct"/>
            <w:vAlign w:val="center"/>
          </w:tcPr>
          <w:p w14:paraId="54BB31AA">
            <w:pPr>
              <w:jc w:val="center"/>
              <w:rPr>
                <w:rFonts w:ascii="Times New Roman" w:hAnsi="Times New Roman" w:cs="Times New Roman"/>
                <w:sz w:val="15"/>
                <w:szCs w:val="13"/>
                <w:highlight w:val="none"/>
              </w:rPr>
            </w:pPr>
          </w:p>
        </w:tc>
        <w:tc>
          <w:tcPr>
            <w:tcW w:w="222" w:type="pct"/>
            <w:vAlign w:val="center"/>
          </w:tcPr>
          <w:p w14:paraId="600E3462">
            <w:pPr>
              <w:jc w:val="center"/>
              <w:rPr>
                <w:rFonts w:ascii="Times New Roman" w:hAnsi="Times New Roman" w:cs="Times New Roman"/>
                <w:sz w:val="15"/>
                <w:szCs w:val="13"/>
                <w:highlight w:val="none"/>
              </w:rPr>
            </w:pPr>
          </w:p>
        </w:tc>
        <w:tc>
          <w:tcPr>
            <w:tcW w:w="260" w:type="pct"/>
            <w:vAlign w:val="center"/>
          </w:tcPr>
          <w:p w14:paraId="7C69EC55">
            <w:pPr>
              <w:jc w:val="center"/>
              <w:rPr>
                <w:rFonts w:ascii="Times New Roman" w:hAnsi="Times New Roman" w:cs="Times New Roman"/>
                <w:sz w:val="15"/>
                <w:szCs w:val="13"/>
                <w:highlight w:val="none"/>
              </w:rPr>
            </w:pPr>
          </w:p>
        </w:tc>
        <w:tc>
          <w:tcPr>
            <w:tcW w:w="216" w:type="pct"/>
            <w:vAlign w:val="center"/>
          </w:tcPr>
          <w:p w14:paraId="0B1D622B">
            <w:pPr>
              <w:jc w:val="center"/>
              <w:rPr>
                <w:rFonts w:ascii="Times New Roman" w:hAnsi="Times New Roman" w:cs="Times New Roman"/>
                <w:sz w:val="15"/>
                <w:szCs w:val="13"/>
                <w:highlight w:val="none"/>
              </w:rPr>
            </w:pPr>
          </w:p>
        </w:tc>
        <w:tc>
          <w:tcPr>
            <w:tcW w:w="298" w:type="pct"/>
            <w:vAlign w:val="center"/>
          </w:tcPr>
          <w:p w14:paraId="7E26ED7D">
            <w:pPr>
              <w:jc w:val="center"/>
              <w:rPr>
                <w:rFonts w:ascii="Times New Roman" w:hAnsi="Times New Roman" w:cs="Times New Roman"/>
                <w:sz w:val="15"/>
                <w:szCs w:val="13"/>
                <w:highlight w:val="none"/>
              </w:rPr>
            </w:pPr>
          </w:p>
        </w:tc>
        <w:tc>
          <w:tcPr>
            <w:tcW w:w="347" w:type="pct"/>
            <w:vAlign w:val="center"/>
          </w:tcPr>
          <w:p w14:paraId="10EFDAD7">
            <w:pPr>
              <w:jc w:val="center"/>
              <w:rPr>
                <w:rFonts w:ascii="Times New Roman" w:hAnsi="Times New Roman" w:cs="Times New Roman"/>
                <w:sz w:val="15"/>
                <w:szCs w:val="13"/>
                <w:highlight w:val="none"/>
              </w:rPr>
            </w:pPr>
          </w:p>
        </w:tc>
        <w:tc>
          <w:tcPr>
            <w:tcW w:w="195" w:type="pct"/>
            <w:vAlign w:val="center"/>
          </w:tcPr>
          <w:p w14:paraId="133BDA87">
            <w:pPr>
              <w:jc w:val="center"/>
              <w:rPr>
                <w:rFonts w:ascii="Times New Roman" w:hAnsi="Times New Roman" w:cs="Times New Roman"/>
                <w:sz w:val="15"/>
                <w:szCs w:val="13"/>
                <w:highlight w:val="none"/>
              </w:rPr>
            </w:pPr>
          </w:p>
        </w:tc>
      </w:tr>
      <w:tr w14:paraId="46FF9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6" w:type="pct"/>
            <w:vAlign w:val="center"/>
          </w:tcPr>
          <w:p w14:paraId="6BFF2EC2">
            <w:pPr>
              <w:jc w:val="center"/>
              <w:rPr>
                <w:rFonts w:ascii="Times New Roman" w:hAnsi="Times New Roman" w:cs="Times New Roman"/>
                <w:sz w:val="15"/>
                <w:szCs w:val="13"/>
                <w:highlight w:val="none"/>
              </w:rPr>
            </w:pPr>
          </w:p>
        </w:tc>
        <w:tc>
          <w:tcPr>
            <w:tcW w:w="216" w:type="pct"/>
            <w:vAlign w:val="center"/>
          </w:tcPr>
          <w:p w14:paraId="17156CC8">
            <w:pPr>
              <w:jc w:val="center"/>
              <w:rPr>
                <w:rFonts w:ascii="Times New Roman" w:hAnsi="Times New Roman" w:cs="Times New Roman"/>
                <w:sz w:val="15"/>
                <w:szCs w:val="13"/>
                <w:highlight w:val="none"/>
              </w:rPr>
            </w:pPr>
          </w:p>
        </w:tc>
        <w:tc>
          <w:tcPr>
            <w:tcW w:w="330" w:type="pct"/>
            <w:vAlign w:val="center"/>
          </w:tcPr>
          <w:p w14:paraId="024217DD">
            <w:pPr>
              <w:jc w:val="center"/>
              <w:rPr>
                <w:rFonts w:ascii="Times New Roman" w:hAnsi="Times New Roman" w:cs="Times New Roman"/>
                <w:sz w:val="15"/>
                <w:szCs w:val="13"/>
                <w:highlight w:val="none"/>
              </w:rPr>
            </w:pPr>
          </w:p>
        </w:tc>
        <w:tc>
          <w:tcPr>
            <w:tcW w:w="384" w:type="pct"/>
            <w:vAlign w:val="center"/>
          </w:tcPr>
          <w:p w14:paraId="6E5AA17D">
            <w:pPr>
              <w:jc w:val="center"/>
              <w:rPr>
                <w:rFonts w:ascii="Times New Roman" w:hAnsi="Times New Roman" w:cs="Times New Roman"/>
                <w:sz w:val="15"/>
                <w:szCs w:val="13"/>
                <w:highlight w:val="none"/>
              </w:rPr>
            </w:pPr>
          </w:p>
        </w:tc>
        <w:tc>
          <w:tcPr>
            <w:tcW w:w="460" w:type="pct"/>
            <w:vAlign w:val="center"/>
          </w:tcPr>
          <w:p w14:paraId="1C518A72">
            <w:pPr>
              <w:jc w:val="center"/>
              <w:rPr>
                <w:rFonts w:ascii="Times New Roman" w:hAnsi="Times New Roman" w:cs="Times New Roman"/>
                <w:sz w:val="15"/>
                <w:szCs w:val="13"/>
                <w:highlight w:val="none"/>
              </w:rPr>
            </w:pPr>
          </w:p>
        </w:tc>
        <w:tc>
          <w:tcPr>
            <w:tcW w:w="373" w:type="pct"/>
            <w:vAlign w:val="center"/>
          </w:tcPr>
          <w:p w14:paraId="6BD96005">
            <w:pPr>
              <w:jc w:val="center"/>
              <w:rPr>
                <w:rFonts w:ascii="Times New Roman" w:hAnsi="Times New Roman" w:cs="Times New Roman"/>
                <w:sz w:val="15"/>
                <w:szCs w:val="13"/>
                <w:highlight w:val="none"/>
              </w:rPr>
            </w:pPr>
          </w:p>
        </w:tc>
        <w:tc>
          <w:tcPr>
            <w:tcW w:w="363" w:type="pct"/>
            <w:vAlign w:val="center"/>
          </w:tcPr>
          <w:p w14:paraId="6DC7153D">
            <w:pPr>
              <w:jc w:val="center"/>
              <w:rPr>
                <w:rFonts w:ascii="Times New Roman" w:hAnsi="Times New Roman" w:cs="Times New Roman"/>
                <w:sz w:val="15"/>
                <w:szCs w:val="13"/>
                <w:highlight w:val="none"/>
              </w:rPr>
            </w:pPr>
          </w:p>
        </w:tc>
        <w:tc>
          <w:tcPr>
            <w:tcW w:w="363" w:type="pct"/>
            <w:vAlign w:val="center"/>
          </w:tcPr>
          <w:p w14:paraId="50D2AB49">
            <w:pPr>
              <w:jc w:val="center"/>
              <w:rPr>
                <w:rFonts w:ascii="Times New Roman" w:hAnsi="Times New Roman" w:cs="Times New Roman"/>
                <w:sz w:val="15"/>
                <w:szCs w:val="13"/>
                <w:highlight w:val="none"/>
              </w:rPr>
            </w:pPr>
          </w:p>
        </w:tc>
        <w:tc>
          <w:tcPr>
            <w:tcW w:w="363" w:type="pct"/>
            <w:vAlign w:val="center"/>
          </w:tcPr>
          <w:p w14:paraId="18CDF7CE">
            <w:pPr>
              <w:jc w:val="center"/>
              <w:rPr>
                <w:rFonts w:ascii="Times New Roman" w:hAnsi="Times New Roman" w:cs="Times New Roman"/>
                <w:sz w:val="15"/>
                <w:szCs w:val="13"/>
                <w:highlight w:val="none"/>
              </w:rPr>
            </w:pPr>
          </w:p>
        </w:tc>
        <w:tc>
          <w:tcPr>
            <w:tcW w:w="417" w:type="pct"/>
            <w:vAlign w:val="center"/>
          </w:tcPr>
          <w:p w14:paraId="5F3E55C9">
            <w:pPr>
              <w:jc w:val="center"/>
              <w:rPr>
                <w:rFonts w:ascii="Times New Roman" w:hAnsi="Times New Roman" w:cs="Times New Roman"/>
                <w:sz w:val="15"/>
                <w:szCs w:val="13"/>
                <w:highlight w:val="none"/>
              </w:rPr>
            </w:pPr>
          </w:p>
        </w:tc>
        <w:tc>
          <w:tcPr>
            <w:tcW w:w="222" w:type="pct"/>
            <w:vAlign w:val="center"/>
          </w:tcPr>
          <w:p w14:paraId="75C56B26">
            <w:pPr>
              <w:jc w:val="center"/>
              <w:rPr>
                <w:rFonts w:ascii="Times New Roman" w:hAnsi="Times New Roman" w:cs="Times New Roman"/>
                <w:sz w:val="15"/>
                <w:szCs w:val="13"/>
                <w:highlight w:val="none"/>
              </w:rPr>
            </w:pPr>
          </w:p>
        </w:tc>
        <w:tc>
          <w:tcPr>
            <w:tcW w:w="260" w:type="pct"/>
            <w:vAlign w:val="center"/>
          </w:tcPr>
          <w:p w14:paraId="6B9B289E">
            <w:pPr>
              <w:jc w:val="center"/>
              <w:rPr>
                <w:rFonts w:ascii="Times New Roman" w:hAnsi="Times New Roman" w:cs="Times New Roman"/>
                <w:sz w:val="15"/>
                <w:szCs w:val="13"/>
                <w:highlight w:val="none"/>
              </w:rPr>
            </w:pPr>
          </w:p>
        </w:tc>
        <w:tc>
          <w:tcPr>
            <w:tcW w:w="216" w:type="pct"/>
            <w:vAlign w:val="center"/>
          </w:tcPr>
          <w:p w14:paraId="562C5677">
            <w:pPr>
              <w:jc w:val="center"/>
              <w:rPr>
                <w:rFonts w:ascii="Times New Roman" w:hAnsi="Times New Roman" w:cs="Times New Roman"/>
                <w:sz w:val="15"/>
                <w:szCs w:val="13"/>
                <w:highlight w:val="none"/>
              </w:rPr>
            </w:pPr>
          </w:p>
        </w:tc>
        <w:tc>
          <w:tcPr>
            <w:tcW w:w="298" w:type="pct"/>
            <w:vAlign w:val="center"/>
          </w:tcPr>
          <w:p w14:paraId="3C1A2E0D">
            <w:pPr>
              <w:jc w:val="center"/>
              <w:rPr>
                <w:rFonts w:ascii="Times New Roman" w:hAnsi="Times New Roman" w:cs="Times New Roman"/>
                <w:sz w:val="15"/>
                <w:szCs w:val="13"/>
                <w:highlight w:val="none"/>
              </w:rPr>
            </w:pPr>
          </w:p>
        </w:tc>
        <w:tc>
          <w:tcPr>
            <w:tcW w:w="347" w:type="pct"/>
            <w:vAlign w:val="center"/>
          </w:tcPr>
          <w:p w14:paraId="5AE7FB06">
            <w:pPr>
              <w:jc w:val="center"/>
              <w:rPr>
                <w:rFonts w:ascii="Times New Roman" w:hAnsi="Times New Roman" w:cs="Times New Roman"/>
                <w:sz w:val="15"/>
                <w:szCs w:val="13"/>
                <w:highlight w:val="none"/>
              </w:rPr>
            </w:pPr>
          </w:p>
        </w:tc>
        <w:tc>
          <w:tcPr>
            <w:tcW w:w="195" w:type="pct"/>
            <w:vAlign w:val="center"/>
          </w:tcPr>
          <w:p w14:paraId="2D73AB07">
            <w:pPr>
              <w:jc w:val="center"/>
              <w:rPr>
                <w:rFonts w:ascii="Times New Roman" w:hAnsi="Times New Roman" w:cs="Times New Roman"/>
                <w:sz w:val="15"/>
                <w:szCs w:val="13"/>
                <w:highlight w:val="none"/>
              </w:rPr>
            </w:pPr>
          </w:p>
        </w:tc>
      </w:tr>
      <w:tr w14:paraId="5FA62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 w:hRule="atLeast"/>
        </w:trPr>
        <w:tc>
          <w:tcPr>
            <w:tcW w:w="186" w:type="pct"/>
            <w:vAlign w:val="center"/>
          </w:tcPr>
          <w:p w14:paraId="1CA0901C">
            <w:pPr>
              <w:jc w:val="center"/>
              <w:rPr>
                <w:rFonts w:ascii="Times New Roman" w:hAnsi="Times New Roman" w:cs="Times New Roman"/>
                <w:sz w:val="15"/>
                <w:szCs w:val="13"/>
                <w:highlight w:val="none"/>
              </w:rPr>
            </w:pPr>
          </w:p>
        </w:tc>
        <w:tc>
          <w:tcPr>
            <w:tcW w:w="216" w:type="pct"/>
            <w:vAlign w:val="center"/>
          </w:tcPr>
          <w:p w14:paraId="28AD2E17">
            <w:pPr>
              <w:jc w:val="center"/>
              <w:rPr>
                <w:rFonts w:ascii="Times New Roman" w:hAnsi="Times New Roman" w:cs="Times New Roman"/>
                <w:sz w:val="15"/>
                <w:szCs w:val="13"/>
                <w:highlight w:val="none"/>
              </w:rPr>
            </w:pPr>
          </w:p>
        </w:tc>
        <w:tc>
          <w:tcPr>
            <w:tcW w:w="330" w:type="pct"/>
            <w:vAlign w:val="center"/>
          </w:tcPr>
          <w:p w14:paraId="60722633">
            <w:pPr>
              <w:jc w:val="center"/>
              <w:rPr>
                <w:rFonts w:ascii="Times New Roman" w:hAnsi="Times New Roman" w:cs="Times New Roman"/>
                <w:sz w:val="15"/>
                <w:szCs w:val="13"/>
                <w:highlight w:val="none"/>
              </w:rPr>
            </w:pPr>
          </w:p>
        </w:tc>
        <w:tc>
          <w:tcPr>
            <w:tcW w:w="384" w:type="pct"/>
            <w:vAlign w:val="center"/>
          </w:tcPr>
          <w:p w14:paraId="490C0EE7">
            <w:pPr>
              <w:jc w:val="center"/>
              <w:rPr>
                <w:rFonts w:ascii="Times New Roman" w:hAnsi="Times New Roman" w:cs="Times New Roman"/>
                <w:sz w:val="15"/>
                <w:szCs w:val="13"/>
                <w:highlight w:val="none"/>
              </w:rPr>
            </w:pPr>
          </w:p>
        </w:tc>
        <w:tc>
          <w:tcPr>
            <w:tcW w:w="460" w:type="pct"/>
            <w:vAlign w:val="center"/>
          </w:tcPr>
          <w:p w14:paraId="1C3A8DD3">
            <w:pPr>
              <w:jc w:val="center"/>
              <w:rPr>
                <w:rFonts w:ascii="Times New Roman" w:hAnsi="Times New Roman" w:cs="Times New Roman"/>
                <w:sz w:val="15"/>
                <w:szCs w:val="13"/>
                <w:highlight w:val="none"/>
              </w:rPr>
            </w:pPr>
          </w:p>
        </w:tc>
        <w:tc>
          <w:tcPr>
            <w:tcW w:w="373" w:type="pct"/>
            <w:vAlign w:val="center"/>
          </w:tcPr>
          <w:p w14:paraId="2AAFEEA2">
            <w:pPr>
              <w:jc w:val="center"/>
              <w:rPr>
                <w:rFonts w:ascii="Times New Roman" w:hAnsi="Times New Roman" w:cs="Times New Roman"/>
                <w:sz w:val="15"/>
                <w:szCs w:val="13"/>
                <w:highlight w:val="none"/>
              </w:rPr>
            </w:pPr>
          </w:p>
        </w:tc>
        <w:tc>
          <w:tcPr>
            <w:tcW w:w="363" w:type="pct"/>
            <w:vAlign w:val="center"/>
          </w:tcPr>
          <w:p w14:paraId="6D1BD434">
            <w:pPr>
              <w:jc w:val="center"/>
              <w:rPr>
                <w:rFonts w:ascii="Times New Roman" w:hAnsi="Times New Roman" w:cs="Times New Roman"/>
                <w:sz w:val="15"/>
                <w:szCs w:val="13"/>
                <w:highlight w:val="none"/>
              </w:rPr>
            </w:pPr>
          </w:p>
        </w:tc>
        <w:tc>
          <w:tcPr>
            <w:tcW w:w="363" w:type="pct"/>
            <w:vAlign w:val="center"/>
          </w:tcPr>
          <w:p w14:paraId="1193B7B8">
            <w:pPr>
              <w:jc w:val="center"/>
              <w:rPr>
                <w:rFonts w:ascii="Times New Roman" w:hAnsi="Times New Roman" w:cs="Times New Roman"/>
                <w:sz w:val="15"/>
                <w:szCs w:val="13"/>
                <w:highlight w:val="none"/>
              </w:rPr>
            </w:pPr>
          </w:p>
        </w:tc>
        <w:tc>
          <w:tcPr>
            <w:tcW w:w="363" w:type="pct"/>
            <w:vAlign w:val="center"/>
          </w:tcPr>
          <w:p w14:paraId="03CE4BDD">
            <w:pPr>
              <w:jc w:val="center"/>
              <w:rPr>
                <w:rFonts w:ascii="Times New Roman" w:hAnsi="Times New Roman" w:cs="Times New Roman"/>
                <w:sz w:val="15"/>
                <w:szCs w:val="13"/>
                <w:highlight w:val="none"/>
              </w:rPr>
            </w:pPr>
          </w:p>
        </w:tc>
        <w:tc>
          <w:tcPr>
            <w:tcW w:w="417" w:type="pct"/>
            <w:vAlign w:val="center"/>
          </w:tcPr>
          <w:p w14:paraId="0E5C5020">
            <w:pPr>
              <w:jc w:val="center"/>
              <w:rPr>
                <w:rFonts w:ascii="Times New Roman" w:hAnsi="Times New Roman" w:cs="Times New Roman"/>
                <w:sz w:val="15"/>
                <w:szCs w:val="13"/>
                <w:highlight w:val="none"/>
              </w:rPr>
            </w:pPr>
          </w:p>
        </w:tc>
        <w:tc>
          <w:tcPr>
            <w:tcW w:w="222" w:type="pct"/>
            <w:vAlign w:val="center"/>
          </w:tcPr>
          <w:p w14:paraId="0D0CF034">
            <w:pPr>
              <w:jc w:val="center"/>
              <w:rPr>
                <w:rFonts w:ascii="Times New Roman" w:hAnsi="Times New Roman" w:cs="Times New Roman"/>
                <w:sz w:val="15"/>
                <w:szCs w:val="13"/>
                <w:highlight w:val="none"/>
              </w:rPr>
            </w:pPr>
          </w:p>
        </w:tc>
        <w:tc>
          <w:tcPr>
            <w:tcW w:w="260" w:type="pct"/>
            <w:vAlign w:val="center"/>
          </w:tcPr>
          <w:p w14:paraId="3906624D">
            <w:pPr>
              <w:jc w:val="center"/>
              <w:rPr>
                <w:rFonts w:ascii="Times New Roman" w:hAnsi="Times New Roman" w:cs="Times New Roman"/>
                <w:sz w:val="15"/>
                <w:szCs w:val="13"/>
                <w:highlight w:val="none"/>
              </w:rPr>
            </w:pPr>
          </w:p>
        </w:tc>
        <w:tc>
          <w:tcPr>
            <w:tcW w:w="216" w:type="pct"/>
            <w:vAlign w:val="center"/>
          </w:tcPr>
          <w:p w14:paraId="2227A78C">
            <w:pPr>
              <w:jc w:val="center"/>
              <w:rPr>
                <w:rFonts w:ascii="Times New Roman" w:hAnsi="Times New Roman" w:cs="Times New Roman"/>
                <w:sz w:val="15"/>
                <w:szCs w:val="13"/>
                <w:highlight w:val="none"/>
              </w:rPr>
            </w:pPr>
          </w:p>
        </w:tc>
        <w:tc>
          <w:tcPr>
            <w:tcW w:w="298" w:type="pct"/>
            <w:vAlign w:val="center"/>
          </w:tcPr>
          <w:p w14:paraId="1FEBC646">
            <w:pPr>
              <w:jc w:val="center"/>
              <w:rPr>
                <w:rFonts w:ascii="Times New Roman" w:hAnsi="Times New Roman" w:cs="Times New Roman"/>
                <w:sz w:val="15"/>
                <w:szCs w:val="13"/>
                <w:highlight w:val="none"/>
              </w:rPr>
            </w:pPr>
          </w:p>
        </w:tc>
        <w:tc>
          <w:tcPr>
            <w:tcW w:w="347" w:type="pct"/>
            <w:vAlign w:val="center"/>
          </w:tcPr>
          <w:p w14:paraId="18E73A8E">
            <w:pPr>
              <w:jc w:val="center"/>
              <w:rPr>
                <w:rFonts w:ascii="Times New Roman" w:hAnsi="Times New Roman" w:cs="Times New Roman"/>
                <w:sz w:val="15"/>
                <w:szCs w:val="13"/>
                <w:highlight w:val="none"/>
              </w:rPr>
            </w:pPr>
          </w:p>
        </w:tc>
        <w:tc>
          <w:tcPr>
            <w:tcW w:w="195" w:type="pct"/>
            <w:vAlign w:val="center"/>
          </w:tcPr>
          <w:p w14:paraId="3352E84D">
            <w:pPr>
              <w:jc w:val="center"/>
              <w:rPr>
                <w:rFonts w:ascii="Times New Roman" w:hAnsi="Times New Roman" w:cs="Times New Roman"/>
                <w:sz w:val="15"/>
                <w:szCs w:val="13"/>
                <w:highlight w:val="none"/>
              </w:rPr>
            </w:pPr>
          </w:p>
        </w:tc>
      </w:tr>
      <w:tr w14:paraId="4832B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186" w:type="pct"/>
            <w:vAlign w:val="center"/>
          </w:tcPr>
          <w:p w14:paraId="7A7B5E6A">
            <w:pPr>
              <w:jc w:val="center"/>
              <w:rPr>
                <w:rFonts w:ascii="Times New Roman" w:hAnsi="Times New Roman" w:cs="Times New Roman"/>
                <w:sz w:val="15"/>
                <w:szCs w:val="13"/>
                <w:highlight w:val="none"/>
              </w:rPr>
            </w:pPr>
          </w:p>
        </w:tc>
        <w:tc>
          <w:tcPr>
            <w:tcW w:w="216" w:type="pct"/>
            <w:vAlign w:val="center"/>
          </w:tcPr>
          <w:p w14:paraId="6A77EDD3">
            <w:pPr>
              <w:jc w:val="center"/>
              <w:rPr>
                <w:rFonts w:ascii="Times New Roman" w:hAnsi="Times New Roman" w:cs="Times New Roman"/>
                <w:sz w:val="15"/>
                <w:szCs w:val="13"/>
                <w:highlight w:val="none"/>
              </w:rPr>
            </w:pPr>
          </w:p>
        </w:tc>
        <w:tc>
          <w:tcPr>
            <w:tcW w:w="330" w:type="pct"/>
            <w:vAlign w:val="center"/>
          </w:tcPr>
          <w:p w14:paraId="58FCC3D0">
            <w:pPr>
              <w:jc w:val="center"/>
              <w:rPr>
                <w:rFonts w:ascii="Times New Roman" w:hAnsi="Times New Roman" w:cs="Times New Roman"/>
                <w:sz w:val="15"/>
                <w:szCs w:val="13"/>
                <w:highlight w:val="none"/>
              </w:rPr>
            </w:pPr>
          </w:p>
        </w:tc>
        <w:tc>
          <w:tcPr>
            <w:tcW w:w="384" w:type="pct"/>
            <w:vAlign w:val="center"/>
          </w:tcPr>
          <w:p w14:paraId="65528864">
            <w:pPr>
              <w:jc w:val="center"/>
              <w:rPr>
                <w:rFonts w:ascii="Times New Roman" w:hAnsi="Times New Roman" w:cs="Times New Roman"/>
                <w:sz w:val="15"/>
                <w:szCs w:val="13"/>
                <w:highlight w:val="none"/>
              </w:rPr>
            </w:pPr>
          </w:p>
        </w:tc>
        <w:tc>
          <w:tcPr>
            <w:tcW w:w="460" w:type="pct"/>
            <w:vAlign w:val="center"/>
          </w:tcPr>
          <w:p w14:paraId="0F4802D6">
            <w:pPr>
              <w:jc w:val="center"/>
              <w:rPr>
                <w:rFonts w:ascii="Times New Roman" w:hAnsi="Times New Roman" w:cs="Times New Roman"/>
                <w:sz w:val="15"/>
                <w:szCs w:val="13"/>
                <w:highlight w:val="none"/>
              </w:rPr>
            </w:pPr>
          </w:p>
        </w:tc>
        <w:tc>
          <w:tcPr>
            <w:tcW w:w="373" w:type="pct"/>
            <w:vAlign w:val="center"/>
          </w:tcPr>
          <w:p w14:paraId="1D4AAF70">
            <w:pPr>
              <w:jc w:val="center"/>
              <w:rPr>
                <w:rFonts w:ascii="Times New Roman" w:hAnsi="Times New Roman" w:cs="Times New Roman"/>
                <w:sz w:val="15"/>
                <w:szCs w:val="13"/>
                <w:highlight w:val="none"/>
              </w:rPr>
            </w:pPr>
          </w:p>
        </w:tc>
        <w:tc>
          <w:tcPr>
            <w:tcW w:w="363" w:type="pct"/>
            <w:vAlign w:val="center"/>
          </w:tcPr>
          <w:p w14:paraId="149697BD">
            <w:pPr>
              <w:jc w:val="center"/>
              <w:rPr>
                <w:rFonts w:ascii="Times New Roman" w:hAnsi="Times New Roman" w:cs="Times New Roman"/>
                <w:sz w:val="15"/>
                <w:szCs w:val="13"/>
                <w:highlight w:val="none"/>
              </w:rPr>
            </w:pPr>
          </w:p>
        </w:tc>
        <w:tc>
          <w:tcPr>
            <w:tcW w:w="363" w:type="pct"/>
            <w:vAlign w:val="center"/>
          </w:tcPr>
          <w:p w14:paraId="2A4F02E3">
            <w:pPr>
              <w:jc w:val="center"/>
              <w:rPr>
                <w:rFonts w:ascii="Times New Roman" w:hAnsi="Times New Roman" w:cs="Times New Roman"/>
                <w:sz w:val="15"/>
                <w:szCs w:val="13"/>
                <w:highlight w:val="none"/>
              </w:rPr>
            </w:pPr>
          </w:p>
        </w:tc>
        <w:tc>
          <w:tcPr>
            <w:tcW w:w="363" w:type="pct"/>
            <w:vAlign w:val="center"/>
          </w:tcPr>
          <w:p w14:paraId="27608D51">
            <w:pPr>
              <w:jc w:val="center"/>
              <w:rPr>
                <w:rFonts w:ascii="Times New Roman" w:hAnsi="Times New Roman" w:cs="Times New Roman"/>
                <w:sz w:val="15"/>
                <w:szCs w:val="13"/>
                <w:highlight w:val="none"/>
              </w:rPr>
            </w:pPr>
          </w:p>
        </w:tc>
        <w:tc>
          <w:tcPr>
            <w:tcW w:w="417" w:type="pct"/>
            <w:vAlign w:val="center"/>
          </w:tcPr>
          <w:p w14:paraId="555E085F">
            <w:pPr>
              <w:jc w:val="center"/>
              <w:rPr>
                <w:rFonts w:ascii="Times New Roman" w:hAnsi="Times New Roman" w:cs="Times New Roman"/>
                <w:sz w:val="15"/>
                <w:szCs w:val="13"/>
                <w:highlight w:val="none"/>
              </w:rPr>
            </w:pPr>
          </w:p>
        </w:tc>
        <w:tc>
          <w:tcPr>
            <w:tcW w:w="222" w:type="pct"/>
            <w:vAlign w:val="center"/>
          </w:tcPr>
          <w:p w14:paraId="0D7A1777">
            <w:pPr>
              <w:jc w:val="center"/>
              <w:rPr>
                <w:rFonts w:ascii="Times New Roman" w:hAnsi="Times New Roman" w:cs="Times New Roman"/>
                <w:sz w:val="15"/>
                <w:szCs w:val="13"/>
                <w:highlight w:val="none"/>
              </w:rPr>
            </w:pPr>
          </w:p>
        </w:tc>
        <w:tc>
          <w:tcPr>
            <w:tcW w:w="260" w:type="pct"/>
            <w:vAlign w:val="center"/>
          </w:tcPr>
          <w:p w14:paraId="2E29E838">
            <w:pPr>
              <w:jc w:val="center"/>
              <w:rPr>
                <w:rFonts w:ascii="Times New Roman" w:hAnsi="Times New Roman" w:cs="Times New Roman"/>
                <w:sz w:val="15"/>
                <w:szCs w:val="13"/>
                <w:highlight w:val="none"/>
              </w:rPr>
            </w:pPr>
          </w:p>
        </w:tc>
        <w:tc>
          <w:tcPr>
            <w:tcW w:w="216" w:type="pct"/>
            <w:vAlign w:val="center"/>
          </w:tcPr>
          <w:p w14:paraId="28491C10">
            <w:pPr>
              <w:jc w:val="center"/>
              <w:rPr>
                <w:rFonts w:ascii="Times New Roman" w:hAnsi="Times New Roman" w:cs="Times New Roman"/>
                <w:sz w:val="15"/>
                <w:szCs w:val="13"/>
                <w:highlight w:val="none"/>
              </w:rPr>
            </w:pPr>
          </w:p>
        </w:tc>
        <w:tc>
          <w:tcPr>
            <w:tcW w:w="298" w:type="pct"/>
            <w:vAlign w:val="center"/>
          </w:tcPr>
          <w:p w14:paraId="356B943B">
            <w:pPr>
              <w:jc w:val="center"/>
              <w:rPr>
                <w:rFonts w:ascii="Times New Roman" w:hAnsi="Times New Roman" w:cs="Times New Roman"/>
                <w:sz w:val="15"/>
                <w:szCs w:val="13"/>
                <w:highlight w:val="none"/>
              </w:rPr>
            </w:pPr>
          </w:p>
        </w:tc>
        <w:tc>
          <w:tcPr>
            <w:tcW w:w="347" w:type="pct"/>
            <w:vAlign w:val="center"/>
          </w:tcPr>
          <w:p w14:paraId="252D5C5F">
            <w:pPr>
              <w:jc w:val="center"/>
              <w:rPr>
                <w:rFonts w:ascii="Times New Roman" w:hAnsi="Times New Roman" w:cs="Times New Roman"/>
                <w:sz w:val="15"/>
                <w:szCs w:val="13"/>
                <w:highlight w:val="none"/>
              </w:rPr>
            </w:pPr>
          </w:p>
        </w:tc>
        <w:tc>
          <w:tcPr>
            <w:tcW w:w="195" w:type="pct"/>
            <w:vAlign w:val="center"/>
          </w:tcPr>
          <w:p w14:paraId="1787BBB0">
            <w:pPr>
              <w:jc w:val="center"/>
              <w:rPr>
                <w:rFonts w:ascii="Times New Roman" w:hAnsi="Times New Roman" w:cs="Times New Roman"/>
                <w:sz w:val="15"/>
                <w:szCs w:val="13"/>
                <w:highlight w:val="none"/>
              </w:rPr>
            </w:pPr>
          </w:p>
        </w:tc>
      </w:tr>
      <w:tr w14:paraId="656E5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trPr>
        <w:tc>
          <w:tcPr>
            <w:tcW w:w="186" w:type="pct"/>
            <w:vAlign w:val="center"/>
          </w:tcPr>
          <w:p w14:paraId="7F3C08C6">
            <w:pPr>
              <w:jc w:val="center"/>
              <w:rPr>
                <w:rFonts w:ascii="Times New Roman" w:hAnsi="Times New Roman" w:cs="Times New Roman"/>
                <w:sz w:val="15"/>
                <w:szCs w:val="13"/>
                <w:highlight w:val="none"/>
              </w:rPr>
            </w:pPr>
          </w:p>
        </w:tc>
        <w:tc>
          <w:tcPr>
            <w:tcW w:w="216" w:type="pct"/>
            <w:vAlign w:val="center"/>
          </w:tcPr>
          <w:p w14:paraId="380B252B">
            <w:pPr>
              <w:jc w:val="center"/>
              <w:rPr>
                <w:rFonts w:ascii="Times New Roman" w:hAnsi="Times New Roman" w:cs="Times New Roman"/>
                <w:sz w:val="15"/>
                <w:szCs w:val="13"/>
                <w:highlight w:val="none"/>
              </w:rPr>
            </w:pPr>
          </w:p>
        </w:tc>
        <w:tc>
          <w:tcPr>
            <w:tcW w:w="330" w:type="pct"/>
            <w:vAlign w:val="center"/>
          </w:tcPr>
          <w:p w14:paraId="358F9456">
            <w:pPr>
              <w:jc w:val="center"/>
              <w:rPr>
                <w:rFonts w:ascii="Times New Roman" w:hAnsi="Times New Roman" w:cs="Times New Roman"/>
                <w:sz w:val="15"/>
                <w:szCs w:val="13"/>
                <w:highlight w:val="none"/>
              </w:rPr>
            </w:pPr>
          </w:p>
        </w:tc>
        <w:tc>
          <w:tcPr>
            <w:tcW w:w="384" w:type="pct"/>
            <w:vAlign w:val="center"/>
          </w:tcPr>
          <w:p w14:paraId="41EAED8E">
            <w:pPr>
              <w:jc w:val="center"/>
              <w:rPr>
                <w:rFonts w:ascii="Times New Roman" w:hAnsi="Times New Roman" w:cs="Times New Roman"/>
                <w:sz w:val="15"/>
                <w:szCs w:val="13"/>
                <w:highlight w:val="none"/>
              </w:rPr>
            </w:pPr>
          </w:p>
        </w:tc>
        <w:tc>
          <w:tcPr>
            <w:tcW w:w="460" w:type="pct"/>
            <w:vAlign w:val="center"/>
          </w:tcPr>
          <w:p w14:paraId="602C64FD">
            <w:pPr>
              <w:jc w:val="center"/>
              <w:rPr>
                <w:rFonts w:ascii="Times New Roman" w:hAnsi="Times New Roman" w:cs="Times New Roman"/>
                <w:sz w:val="15"/>
                <w:szCs w:val="13"/>
                <w:highlight w:val="none"/>
              </w:rPr>
            </w:pPr>
          </w:p>
        </w:tc>
        <w:tc>
          <w:tcPr>
            <w:tcW w:w="373" w:type="pct"/>
            <w:vAlign w:val="center"/>
          </w:tcPr>
          <w:p w14:paraId="2425830F">
            <w:pPr>
              <w:jc w:val="center"/>
              <w:rPr>
                <w:rFonts w:ascii="Times New Roman" w:hAnsi="Times New Roman" w:cs="Times New Roman"/>
                <w:sz w:val="15"/>
                <w:szCs w:val="13"/>
                <w:highlight w:val="none"/>
              </w:rPr>
            </w:pPr>
          </w:p>
        </w:tc>
        <w:tc>
          <w:tcPr>
            <w:tcW w:w="363" w:type="pct"/>
            <w:vAlign w:val="center"/>
          </w:tcPr>
          <w:p w14:paraId="7F3CC28B">
            <w:pPr>
              <w:jc w:val="center"/>
              <w:rPr>
                <w:rFonts w:ascii="Times New Roman" w:hAnsi="Times New Roman" w:cs="Times New Roman"/>
                <w:sz w:val="15"/>
                <w:szCs w:val="13"/>
                <w:highlight w:val="none"/>
              </w:rPr>
            </w:pPr>
          </w:p>
        </w:tc>
        <w:tc>
          <w:tcPr>
            <w:tcW w:w="363" w:type="pct"/>
            <w:vAlign w:val="center"/>
          </w:tcPr>
          <w:p w14:paraId="6396451D">
            <w:pPr>
              <w:jc w:val="center"/>
              <w:rPr>
                <w:rFonts w:ascii="Times New Roman" w:hAnsi="Times New Roman" w:cs="Times New Roman"/>
                <w:sz w:val="15"/>
                <w:szCs w:val="13"/>
                <w:highlight w:val="none"/>
              </w:rPr>
            </w:pPr>
          </w:p>
        </w:tc>
        <w:tc>
          <w:tcPr>
            <w:tcW w:w="363" w:type="pct"/>
            <w:vAlign w:val="center"/>
          </w:tcPr>
          <w:p w14:paraId="27786C72">
            <w:pPr>
              <w:jc w:val="center"/>
              <w:rPr>
                <w:rFonts w:ascii="Times New Roman" w:hAnsi="Times New Roman" w:cs="Times New Roman"/>
                <w:sz w:val="15"/>
                <w:szCs w:val="13"/>
                <w:highlight w:val="none"/>
              </w:rPr>
            </w:pPr>
          </w:p>
        </w:tc>
        <w:tc>
          <w:tcPr>
            <w:tcW w:w="417" w:type="pct"/>
            <w:vAlign w:val="center"/>
          </w:tcPr>
          <w:p w14:paraId="5423C457">
            <w:pPr>
              <w:jc w:val="center"/>
              <w:rPr>
                <w:rFonts w:ascii="Times New Roman" w:hAnsi="Times New Roman" w:cs="Times New Roman"/>
                <w:sz w:val="15"/>
                <w:szCs w:val="13"/>
                <w:highlight w:val="none"/>
              </w:rPr>
            </w:pPr>
          </w:p>
        </w:tc>
        <w:tc>
          <w:tcPr>
            <w:tcW w:w="222" w:type="pct"/>
            <w:vAlign w:val="center"/>
          </w:tcPr>
          <w:p w14:paraId="624BB2C9">
            <w:pPr>
              <w:jc w:val="center"/>
              <w:rPr>
                <w:rFonts w:ascii="Times New Roman" w:hAnsi="Times New Roman" w:cs="Times New Roman"/>
                <w:sz w:val="15"/>
                <w:szCs w:val="13"/>
                <w:highlight w:val="none"/>
              </w:rPr>
            </w:pPr>
          </w:p>
        </w:tc>
        <w:tc>
          <w:tcPr>
            <w:tcW w:w="260" w:type="pct"/>
            <w:vAlign w:val="center"/>
          </w:tcPr>
          <w:p w14:paraId="6C3BF923">
            <w:pPr>
              <w:jc w:val="center"/>
              <w:rPr>
                <w:rFonts w:ascii="Times New Roman" w:hAnsi="Times New Roman" w:cs="Times New Roman"/>
                <w:sz w:val="15"/>
                <w:szCs w:val="13"/>
                <w:highlight w:val="none"/>
              </w:rPr>
            </w:pPr>
          </w:p>
        </w:tc>
        <w:tc>
          <w:tcPr>
            <w:tcW w:w="216" w:type="pct"/>
            <w:vAlign w:val="center"/>
          </w:tcPr>
          <w:p w14:paraId="53D7BC60">
            <w:pPr>
              <w:jc w:val="center"/>
              <w:rPr>
                <w:rFonts w:ascii="Times New Roman" w:hAnsi="Times New Roman" w:cs="Times New Roman"/>
                <w:sz w:val="15"/>
                <w:szCs w:val="13"/>
                <w:highlight w:val="none"/>
              </w:rPr>
            </w:pPr>
          </w:p>
        </w:tc>
        <w:tc>
          <w:tcPr>
            <w:tcW w:w="298" w:type="pct"/>
            <w:vAlign w:val="center"/>
          </w:tcPr>
          <w:p w14:paraId="51EE540F">
            <w:pPr>
              <w:jc w:val="center"/>
              <w:rPr>
                <w:rFonts w:ascii="Times New Roman" w:hAnsi="Times New Roman" w:cs="Times New Roman"/>
                <w:sz w:val="15"/>
                <w:szCs w:val="13"/>
                <w:highlight w:val="none"/>
              </w:rPr>
            </w:pPr>
          </w:p>
        </w:tc>
        <w:tc>
          <w:tcPr>
            <w:tcW w:w="347" w:type="pct"/>
            <w:vAlign w:val="center"/>
          </w:tcPr>
          <w:p w14:paraId="7A91E628">
            <w:pPr>
              <w:jc w:val="center"/>
              <w:rPr>
                <w:rFonts w:ascii="Times New Roman" w:hAnsi="Times New Roman" w:cs="Times New Roman"/>
                <w:sz w:val="15"/>
                <w:szCs w:val="13"/>
                <w:highlight w:val="none"/>
              </w:rPr>
            </w:pPr>
          </w:p>
        </w:tc>
        <w:tc>
          <w:tcPr>
            <w:tcW w:w="195" w:type="pct"/>
            <w:vAlign w:val="center"/>
          </w:tcPr>
          <w:p w14:paraId="44844624">
            <w:pPr>
              <w:jc w:val="center"/>
              <w:rPr>
                <w:rFonts w:ascii="Times New Roman" w:hAnsi="Times New Roman" w:cs="Times New Roman"/>
                <w:sz w:val="15"/>
                <w:szCs w:val="13"/>
                <w:highlight w:val="none"/>
              </w:rPr>
            </w:pPr>
          </w:p>
        </w:tc>
      </w:tr>
      <w:tr w14:paraId="44938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186" w:type="pct"/>
            <w:vAlign w:val="center"/>
          </w:tcPr>
          <w:p w14:paraId="3502715D">
            <w:pPr>
              <w:jc w:val="center"/>
              <w:rPr>
                <w:rFonts w:ascii="Times New Roman" w:hAnsi="Times New Roman" w:cs="Times New Roman"/>
                <w:sz w:val="15"/>
                <w:szCs w:val="13"/>
                <w:highlight w:val="none"/>
              </w:rPr>
            </w:pPr>
          </w:p>
        </w:tc>
        <w:tc>
          <w:tcPr>
            <w:tcW w:w="216" w:type="pct"/>
            <w:vAlign w:val="center"/>
          </w:tcPr>
          <w:p w14:paraId="032F79DE">
            <w:pPr>
              <w:jc w:val="center"/>
              <w:rPr>
                <w:rFonts w:ascii="Times New Roman" w:hAnsi="Times New Roman" w:cs="Times New Roman"/>
                <w:sz w:val="15"/>
                <w:szCs w:val="13"/>
                <w:highlight w:val="none"/>
              </w:rPr>
            </w:pPr>
          </w:p>
        </w:tc>
        <w:tc>
          <w:tcPr>
            <w:tcW w:w="330" w:type="pct"/>
            <w:vAlign w:val="center"/>
          </w:tcPr>
          <w:p w14:paraId="6E54D5D5">
            <w:pPr>
              <w:jc w:val="center"/>
              <w:rPr>
                <w:rFonts w:ascii="Times New Roman" w:hAnsi="Times New Roman" w:cs="Times New Roman"/>
                <w:sz w:val="15"/>
                <w:szCs w:val="13"/>
                <w:highlight w:val="none"/>
              </w:rPr>
            </w:pPr>
          </w:p>
        </w:tc>
        <w:tc>
          <w:tcPr>
            <w:tcW w:w="384" w:type="pct"/>
            <w:vAlign w:val="center"/>
          </w:tcPr>
          <w:p w14:paraId="59ABB22E">
            <w:pPr>
              <w:jc w:val="center"/>
              <w:rPr>
                <w:rFonts w:ascii="Times New Roman" w:hAnsi="Times New Roman" w:cs="Times New Roman"/>
                <w:sz w:val="15"/>
                <w:szCs w:val="13"/>
                <w:highlight w:val="none"/>
              </w:rPr>
            </w:pPr>
          </w:p>
        </w:tc>
        <w:tc>
          <w:tcPr>
            <w:tcW w:w="460" w:type="pct"/>
            <w:vAlign w:val="center"/>
          </w:tcPr>
          <w:p w14:paraId="736E9FAC">
            <w:pPr>
              <w:jc w:val="center"/>
              <w:rPr>
                <w:rFonts w:ascii="Times New Roman" w:hAnsi="Times New Roman" w:cs="Times New Roman"/>
                <w:sz w:val="15"/>
                <w:szCs w:val="13"/>
                <w:highlight w:val="none"/>
              </w:rPr>
            </w:pPr>
          </w:p>
        </w:tc>
        <w:tc>
          <w:tcPr>
            <w:tcW w:w="373" w:type="pct"/>
            <w:vAlign w:val="center"/>
          </w:tcPr>
          <w:p w14:paraId="0F5E2D69">
            <w:pPr>
              <w:jc w:val="center"/>
              <w:rPr>
                <w:rFonts w:ascii="Times New Roman" w:hAnsi="Times New Roman" w:cs="Times New Roman"/>
                <w:sz w:val="15"/>
                <w:szCs w:val="13"/>
                <w:highlight w:val="none"/>
              </w:rPr>
            </w:pPr>
          </w:p>
        </w:tc>
        <w:tc>
          <w:tcPr>
            <w:tcW w:w="363" w:type="pct"/>
            <w:vAlign w:val="center"/>
          </w:tcPr>
          <w:p w14:paraId="02856D6E">
            <w:pPr>
              <w:jc w:val="center"/>
              <w:rPr>
                <w:rFonts w:ascii="Times New Roman" w:hAnsi="Times New Roman" w:cs="Times New Roman"/>
                <w:sz w:val="15"/>
                <w:szCs w:val="13"/>
                <w:highlight w:val="none"/>
              </w:rPr>
            </w:pPr>
          </w:p>
        </w:tc>
        <w:tc>
          <w:tcPr>
            <w:tcW w:w="363" w:type="pct"/>
            <w:vAlign w:val="center"/>
          </w:tcPr>
          <w:p w14:paraId="34DAB7B6">
            <w:pPr>
              <w:jc w:val="center"/>
              <w:rPr>
                <w:rFonts w:ascii="Times New Roman" w:hAnsi="Times New Roman" w:cs="Times New Roman"/>
                <w:sz w:val="15"/>
                <w:szCs w:val="13"/>
                <w:highlight w:val="none"/>
              </w:rPr>
            </w:pPr>
          </w:p>
        </w:tc>
        <w:tc>
          <w:tcPr>
            <w:tcW w:w="363" w:type="pct"/>
            <w:vAlign w:val="center"/>
          </w:tcPr>
          <w:p w14:paraId="1E57A057">
            <w:pPr>
              <w:jc w:val="center"/>
              <w:rPr>
                <w:rFonts w:ascii="Times New Roman" w:hAnsi="Times New Roman" w:cs="Times New Roman"/>
                <w:sz w:val="15"/>
                <w:szCs w:val="13"/>
                <w:highlight w:val="none"/>
              </w:rPr>
            </w:pPr>
          </w:p>
        </w:tc>
        <w:tc>
          <w:tcPr>
            <w:tcW w:w="417" w:type="pct"/>
            <w:vAlign w:val="center"/>
          </w:tcPr>
          <w:p w14:paraId="47A4FD93">
            <w:pPr>
              <w:jc w:val="center"/>
              <w:rPr>
                <w:rFonts w:ascii="Times New Roman" w:hAnsi="Times New Roman" w:cs="Times New Roman"/>
                <w:sz w:val="15"/>
                <w:szCs w:val="13"/>
                <w:highlight w:val="none"/>
              </w:rPr>
            </w:pPr>
          </w:p>
        </w:tc>
        <w:tc>
          <w:tcPr>
            <w:tcW w:w="222" w:type="pct"/>
            <w:vAlign w:val="center"/>
          </w:tcPr>
          <w:p w14:paraId="7ACEE038">
            <w:pPr>
              <w:jc w:val="center"/>
              <w:rPr>
                <w:rFonts w:ascii="Times New Roman" w:hAnsi="Times New Roman" w:cs="Times New Roman"/>
                <w:sz w:val="15"/>
                <w:szCs w:val="13"/>
                <w:highlight w:val="none"/>
              </w:rPr>
            </w:pPr>
          </w:p>
        </w:tc>
        <w:tc>
          <w:tcPr>
            <w:tcW w:w="260" w:type="pct"/>
            <w:vAlign w:val="center"/>
          </w:tcPr>
          <w:p w14:paraId="4B27BA17">
            <w:pPr>
              <w:jc w:val="center"/>
              <w:rPr>
                <w:rFonts w:ascii="Times New Roman" w:hAnsi="Times New Roman" w:cs="Times New Roman"/>
                <w:sz w:val="15"/>
                <w:szCs w:val="13"/>
                <w:highlight w:val="none"/>
              </w:rPr>
            </w:pPr>
          </w:p>
        </w:tc>
        <w:tc>
          <w:tcPr>
            <w:tcW w:w="216" w:type="pct"/>
            <w:vAlign w:val="center"/>
          </w:tcPr>
          <w:p w14:paraId="58A07E53">
            <w:pPr>
              <w:jc w:val="center"/>
              <w:rPr>
                <w:rFonts w:ascii="Times New Roman" w:hAnsi="Times New Roman" w:cs="Times New Roman"/>
                <w:sz w:val="15"/>
                <w:szCs w:val="13"/>
                <w:highlight w:val="none"/>
              </w:rPr>
            </w:pPr>
          </w:p>
        </w:tc>
        <w:tc>
          <w:tcPr>
            <w:tcW w:w="298" w:type="pct"/>
            <w:vAlign w:val="center"/>
          </w:tcPr>
          <w:p w14:paraId="66A6D39D">
            <w:pPr>
              <w:jc w:val="center"/>
              <w:rPr>
                <w:rFonts w:ascii="Times New Roman" w:hAnsi="Times New Roman" w:cs="Times New Roman"/>
                <w:sz w:val="15"/>
                <w:szCs w:val="13"/>
                <w:highlight w:val="none"/>
              </w:rPr>
            </w:pPr>
          </w:p>
        </w:tc>
        <w:tc>
          <w:tcPr>
            <w:tcW w:w="347" w:type="pct"/>
            <w:vAlign w:val="center"/>
          </w:tcPr>
          <w:p w14:paraId="0D07E510">
            <w:pPr>
              <w:jc w:val="center"/>
              <w:rPr>
                <w:rFonts w:ascii="Times New Roman" w:hAnsi="Times New Roman" w:cs="Times New Roman"/>
                <w:sz w:val="15"/>
                <w:szCs w:val="13"/>
                <w:highlight w:val="none"/>
              </w:rPr>
            </w:pPr>
          </w:p>
        </w:tc>
        <w:tc>
          <w:tcPr>
            <w:tcW w:w="195" w:type="pct"/>
            <w:vAlign w:val="center"/>
          </w:tcPr>
          <w:p w14:paraId="2D66690B">
            <w:pPr>
              <w:jc w:val="center"/>
              <w:rPr>
                <w:rFonts w:ascii="Times New Roman" w:hAnsi="Times New Roman" w:cs="Times New Roman"/>
                <w:sz w:val="15"/>
                <w:szCs w:val="13"/>
                <w:highlight w:val="none"/>
              </w:rPr>
            </w:pPr>
          </w:p>
        </w:tc>
      </w:tr>
      <w:tr w14:paraId="4D694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186" w:type="pct"/>
            <w:vAlign w:val="center"/>
          </w:tcPr>
          <w:p w14:paraId="6050C97E">
            <w:pPr>
              <w:jc w:val="center"/>
              <w:rPr>
                <w:rFonts w:ascii="Times New Roman" w:hAnsi="Times New Roman" w:cs="Times New Roman"/>
                <w:sz w:val="15"/>
                <w:szCs w:val="13"/>
                <w:highlight w:val="none"/>
              </w:rPr>
            </w:pPr>
          </w:p>
        </w:tc>
        <w:tc>
          <w:tcPr>
            <w:tcW w:w="216" w:type="pct"/>
            <w:vAlign w:val="center"/>
          </w:tcPr>
          <w:p w14:paraId="66F3C00A">
            <w:pPr>
              <w:jc w:val="center"/>
              <w:rPr>
                <w:rFonts w:ascii="Times New Roman" w:hAnsi="Times New Roman" w:cs="Times New Roman"/>
                <w:sz w:val="15"/>
                <w:szCs w:val="13"/>
                <w:highlight w:val="none"/>
              </w:rPr>
            </w:pPr>
          </w:p>
        </w:tc>
        <w:tc>
          <w:tcPr>
            <w:tcW w:w="330" w:type="pct"/>
            <w:vAlign w:val="center"/>
          </w:tcPr>
          <w:p w14:paraId="0A27AFCC">
            <w:pPr>
              <w:jc w:val="center"/>
              <w:rPr>
                <w:rFonts w:ascii="Times New Roman" w:hAnsi="Times New Roman" w:cs="Times New Roman"/>
                <w:sz w:val="15"/>
                <w:szCs w:val="13"/>
                <w:highlight w:val="none"/>
              </w:rPr>
            </w:pPr>
          </w:p>
        </w:tc>
        <w:tc>
          <w:tcPr>
            <w:tcW w:w="384" w:type="pct"/>
            <w:vAlign w:val="center"/>
          </w:tcPr>
          <w:p w14:paraId="04741E36">
            <w:pPr>
              <w:jc w:val="center"/>
              <w:rPr>
                <w:rFonts w:ascii="Times New Roman" w:hAnsi="Times New Roman" w:cs="Times New Roman"/>
                <w:sz w:val="15"/>
                <w:szCs w:val="13"/>
                <w:highlight w:val="none"/>
              </w:rPr>
            </w:pPr>
          </w:p>
        </w:tc>
        <w:tc>
          <w:tcPr>
            <w:tcW w:w="460" w:type="pct"/>
            <w:vAlign w:val="center"/>
          </w:tcPr>
          <w:p w14:paraId="18791C2D">
            <w:pPr>
              <w:jc w:val="center"/>
              <w:rPr>
                <w:rFonts w:ascii="Times New Roman" w:hAnsi="Times New Roman" w:cs="Times New Roman"/>
                <w:sz w:val="15"/>
                <w:szCs w:val="13"/>
                <w:highlight w:val="none"/>
              </w:rPr>
            </w:pPr>
          </w:p>
        </w:tc>
        <w:tc>
          <w:tcPr>
            <w:tcW w:w="373" w:type="pct"/>
            <w:vAlign w:val="center"/>
          </w:tcPr>
          <w:p w14:paraId="73F769F8">
            <w:pPr>
              <w:jc w:val="center"/>
              <w:rPr>
                <w:rFonts w:ascii="Times New Roman" w:hAnsi="Times New Roman" w:cs="Times New Roman"/>
                <w:sz w:val="15"/>
                <w:szCs w:val="13"/>
                <w:highlight w:val="none"/>
              </w:rPr>
            </w:pPr>
          </w:p>
        </w:tc>
        <w:tc>
          <w:tcPr>
            <w:tcW w:w="363" w:type="pct"/>
            <w:vAlign w:val="center"/>
          </w:tcPr>
          <w:p w14:paraId="3FB82001">
            <w:pPr>
              <w:jc w:val="center"/>
              <w:rPr>
                <w:rFonts w:ascii="Times New Roman" w:hAnsi="Times New Roman" w:cs="Times New Roman"/>
                <w:sz w:val="15"/>
                <w:szCs w:val="13"/>
                <w:highlight w:val="none"/>
              </w:rPr>
            </w:pPr>
          </w:p>
        </w:tc>
        <w:tc>
          <w:tcPr>
            <w:tcW w:w="363" w:type="pct"/>
            <w:vAlign w:val="center"/>
          </w:tcPr>
          <w:p w14:paraId="4AAA5F6B">
            <w:pPr>
              <w:jc w:val="center"/>
              <w:rPr>
                <w:rFonts w:ascii="Times New Roman" w:hAnsi="Times New Roman" w:cs="Times New Roman"/>
                <w:sz w:val="15"/>
                <w:szCs w:val="13"/>
                <w:highlight w:val="none"/>
              </w:rPr>
            </w:pPr>
          </w:p>
        </w:tc>
        <w:tc>
          <w:tcPr>
            <w:tcW w:w="363" w:type="pct"/>
            <w:vAlign w:val="center"/>
          </w:tcPr>
          <w:p w14:paraId="7AC34A83">
            <w:pPr>
              <w:jc w:val="center"/>
              <w:rPr>
                <w:rFonts w:ascii="Times New Roman" w:hAnsi="Times New Roman" w:cs="Times New Roman"/>
                <w:sz w:val="15"/>
                <w:szCs w:val="13"/>
                <w:highlight w:val="none"/>
              </w:rPr>
            </w:pPr>
          </w:p>
        </w:tc>
        <w:tc>
          <w:tcPr>
            <w:tcW w:w="417" w:type="pct"/>
            <w:vAlign w:val="center"/>
          </w:tcPr>
          <w:p w14:paraId="7703F586">
            <w:pPr>
              <w:jc w:val="center"/>
              <w:rPr>
                <w:rFonts w:ascii="Times New Roman" w:hAnsi="Times New Roman" w:cs="Times New Roman"/>
                <w:sz w:val="15"/>
                <w:szCs w:val="13"/>
                <w:highlight w:val="none"/>
              </w:rPr>
            </w:pPr>
          </w:p>
        </w:tc>
        <w:tc>
          <w:tcPr>
            <w:tcW w:w="222" w:type="pct"/>
            <w:vAlign w:val="center"/>
          </w:tcPr>
          <w:p w14:paraId="158A3714">
            <w:pPr>
              <w:jc w:val="center"/>
              <w:rPr>
                <w:rFonts w:ascii="Times New Roman" w:hAnsi="Times New Roman" w:cs="Times New Roman"/>
                <w:sz w:val="15"/>
                <w:szCs w:val="13"/>
                <w:highlight w:val="none"/>
              </w:rPr>
            </w:pPr>
          </w:p>
        </w:tc>
        <w:tc>
          <w:tcPr>
            <w:tcW w:w="260" w:type="pct"/>
            <w:vAlign w:val="center"/>
          </w:tcPr>
          <w:p w14:paraId="6236BDEC">
            <w:pPr>
              <w:jc w:val="center"/>
              <w:rPr>
                <w:rFonts w:ascii="Times New Roman" w:hAnsi="Times New Roman" w:cs="Times New Roman"/>
                <w:sz w:val="15"/>
                <w:szCs w:val="13"/>
                <w:highlight w:val="none"/>
              </w:rPr>
            </w:pPr>
          </w:p>
        </w:tc>
        <w:tc>
          <w:tcPr>
            <w:tcW w:w="216" w:type="pct"/>
            <w:vAlign w:val="center"/>
          </w:tcPr>
          <w:p w14:paraId="67DF548C">
            <w:pPr>
              <w:jc w:val="center"/>
              <w:rPr>
                <w:rFonts w:ascii="Times New Roman" w:hAnsi="Times New Roman" w:cs="Times New Roman"/>
                <w:sz w:val="15"/>
                <w:szCs w:val="13"/>
                <w:highlight w:val="none"/>
              </w:rPr>
            </w:pPr>
          </w:p>
        </w:tc>
        <w:tc>
          <w:tcPr>
            <w:tcW w:w="298" w:type="pct"/>
            <w:vAlign w:val="center"/>
          </w:tcPr>
          <w:p w14:paraId="6CFFD893">
            <w:pPr>
              <w:jc w:val="center"/>
              <w:rPr>
                <w:rFonts w:ascii="Times New Roman" w:hAnsi="Times New Roman" w:cs="Times New Roman"/>
                <w:sz w:val="15"/>
                <w:szCs w:val="13"/>
                <w:highlight w:val="none"/>
              </w:rPr>
            </w:pPr>
          </w:p>
        </w:tc>
        <w:tc>
          <w:tcPr>
            <w:tcW w:w="347" w:type="pct"/>
            <w:vAlign w:val="center"/>
          </w:tcPr>
          <w:p w14:paraId="1CF27C47">
            <w:pPr>
              <w:jc w:val="center"/>
              <w:rPr>
                <w:rFonts w:ascii="Times New Roman" w:hAnsi="Times New Roman" w:cs="Times New Roman"/>
                <w:sz w:val="15"/>
                <w:szCs w:val="13"/>
                <w:highlight w:val="none"/>
              </w:rPr>
            </w:pPr>
          </w:p>
        </w:tc>
        <w:tc>
          <w:tcPr>
            <w:tcW w:w="195" w:type="pct"/>
            <w:vAlign w:val="center"/>
          </w:tcPr>
          <w:p w14:paraId="114DD370">
            <w:pPr>
              <w:jc w:val="center"/>
              <w:rPr>
                <w:rFonts w:ascii="Times New Roman" w:hAnsi="Times New Roman" w:cs="Times New Roman"/>
                <w:sz w:val="15"/>
                <w:szCs w:val="13"/>
                <w:highlight w:val="none"/>
              </w:rPr>
            </w:pPr>
          </w:p>
        </w:tc>
      </w:tr>
    </w:tbl>
    <w:p w14:paraId="15D1867B">
      <w:pPr>
        <w:jc w:val="center"/>
        <w:rPr>
          <w:rFonts w:hint="default" w:ascii="Times New Roman" w:hAnsi="Times New Roman"/>
          <w:b/>
          <w:sz w:val="20"/>
          <w:szCs w:val="20"/>
          <w:highlight w:val="none"/>
        </w:rPr>
      </w:pPr>
      <w:r>
        <w:rPr>
          <w:rFonts w:hint="default" w:ascii="Times New Roman" w:hAnsi="Times New Roman"/>
          <w:b/>
          <w:sz w:val="20"/>
          <w:szCs w:val="20"/>
          <w:highlight w:val="none"/>
        </w:rPr>
        <w:t>表B.0.2 静压沉桩施工记录表</w:t>
      </w:r>
    </w:p>
    <w:p w14:paraId="1BAFB31B">
      <w:pPr>
        <w:rPr>
          <w:rFonts w:ascii="Times New Roman" w:hAnsi="Times New Roman"/>
          <w:sz w:val="15"/>
          <w:szCs w:val="13"/>
          <w:highlight w:val="none"/>
        </w:rPr>
      </w:pPr>
      <w:r>
        <w:rPr>
          <w:rFonts w:hint="default" w:ascii="Times New Roman" w:hAnsi="Times New Roman"/>
          <w:sz w:val="15"/>
          <w:szCs w:val="13"/>
          <w:highlight w:val="none"/>
        </w:rPr>
        <w:t>工程名称：        桩基规格型号：       桩机类型：        单桩承载力特征值：</w:t>
      </w:r>
    </w:p>
    <w:p w14:paraId="75CDC666">
      <w:pPr>
        <w:rPr>
          <w:rFonts w:ascii="Times New Roman" w:hAnsi="Times New Roman"/>
          <w:sz w:val="15"/>
          <w:szCs w:val="13"/>
          <w:highlight w:val="none"/>
        </w:rPr>
      </w:pPr>
      <w:r>
        <w:rPr>
          <w:rFonts w:hint="default" w:ascii="Times New Roman" w:hAnsi="Times New Roman"/>
          <w:sz w:val="15"/>
          <w:szCs w:val="13"/>
          <w:highlight w:val="none"/>
        </w:rPr>
        <w:t xml:space="preserve">施工单位：        混凝土强度：         桩尖类型：         </w:t>
      </w:r>
      <w:r>
        <w:rPr>
          <w:rFonts w:hint="eastAsia" w:ascii="Times New Roman" w:hAnsi="Times New Roman"/>
          <w:sz w:val="15"/>
          <w:szCs w:val="13"/>
          <w:highlight w:val="none"/>
          <w:lang w:val="en-US" w:eastAsia="zh-CN"/>
        </w:rPr>
        <w:t xml:space="preserve">     </w:t>
      </w:r>
      <w:r>
        <w:rPr>
          <w:rFonts w:hint="default" w:ascii="Times New Roman" w:hAnsi="Times New Roman"/>
          <w:sz w:val="15"/>
          <w:szCs w:val="13"/>
          <w:highlight w:val="none"/>
        </w:rPr>
        <w:t>年</w:t>
      </w:r>
      <w:r>
        <w:rPr>
          <w:rFonts w:hint="default" w:ascii="Times New Roman" w:hAnsi="Times New Roman"/>
          <w:sz w:val="15"/>
          <w:szCs w:val="13"/>
          <w:highlight w:val="none"/>
          <w:lang w:val="en-US" w:eastAsia="zh-CN"/>
        </w:rPr>
        <w:t xml:space="preserve"> </w:t>
      </w:r>
      <w:r>
        <w:rPr>
          <w:rFonts w:hint="default" w:ascii="Times New Roman" w:hAnsi="Times New Roman"/>
          <w:sz w:val="15"/>
          <w:szCs w:val="13"/>
          <w:highlight w:val="none"/>
        </w:rPr>
        <w:t xml:space="preserve">  月   </w:t>
      </w:r>
      <w:r>
        <w:rPr>
          <w:rFonts w:hint="default" w:ascii="Times New Roman" w:hAnsi="Times New Roman"/>
          <w:sz w:val="15"/>
          <w:szCs w:val="13"/>
          <w:highlight w:val="none"/>
          <w:lang w:val="en-US" w:eastAsia="zh-CN"/>
        </w:rPr>
        <w:t xml:space="preserve"> </w:t>
      </w:r>
      <w:r>
        <w:rPr>
          <w:rFonts w:hint="default" w:ascii="Times New Roman" w:hAnsi="Times New Roman"/>
          <w:sz w:val="15"/>
          <w:szCs w:val="13"/>
          <w:highlight w:val="none"/>
        </w:rPr>
        <w:t>日</w:t>
      </w:r>
    </w:p>
    <w:tbl>
      <w:tblPr>
        <w:tblStyle w:val="49"/>
        <w:tblpPr w:leftFromText="180" w:rightFromText="180" w:vertAnchor="text" w:horzAnchor="margin" w:tblpY="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3"/>
        <w:gridCol w:w="360"/>
        <w:gridCol w:w="385"/>
        <w:gridCol w:w="634"/>
        <w:gridCol w:w="730"/>
        <w:gridCol w:w="617"/>
        <w:gridCol w:w="767"/>
        <w:gridCol w:w="608"/>
        <w:gridCol w:w="767"/>
        <w:gridCol w:w="608"/>
        <w:gridCol w:w="764"/>
        <w:gridCol w:w="707"/>
        <w:gridCol w:w="356"/>
        <w:gridCol w:w="610"/>
        <w:gridCol w:w="610"/>
        <w:gridCol w:w="610"/>
      </w:tblGrid>
      <w:tr w14:paraId="7B6DF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71" w:type="pct"/>
            <w:vMerge w:val="restart"/>
            <w:vAlign w:val="center"/>
          </w:tcPr>
          <w:p w14:paraId="3257048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日期</w:t>
            </w:r>
          </w:p>
        </w:tc>
        <w:tc>
          <w:tcPr>
            <w:tcW w:w="190" w:type="pct"/>
            <w:vMerge w:val="restart"/>
            <w:vAlign w:val="center"/>
          </w:tcPr>
          <w:p w14:paraId="302CDCCA">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序号</w:t>
            </w:r>
          </w:p>
        </w:tc>
        <w:tc>
          <w:tcPr>
            <w:tcW w:w="203" w:type="pct"/>
            <w:vMerge w:val="restart"/>
            <w:vAlign w:val="center"/>
          </w:tcPr>
          <w:p w14:paraId="05782375">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桩</w:t>
            </w:r>
          </w:p>
          <w:p w14:paraId="360C1DF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号</w:t>
            </w:r>
          </w:p>
        </w:tc>
        <w:tc>
          <w:tcPr>
            <w:tcW w:w="721" w:type="pct"/>
            <w:gridSpan w:val="2"/>
            <w:vAlign w:val="center"/>
          </w:tcPr>
          <w:p w14:paraId="54CD8A95">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第一节桩</w:t>
            </w:r>
          </w:p>
        </w:tc>
        <w:tc>
          <w:tcPr>
            <w:tcW w:w="732" w:type="pct"/>
            <w:gridSpan w:val="2"/>
            <w:vAlign w:val="center"/>
          </w:tcPr>
          <w:p w14:paraId="5396CCDB">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第二节桩</w:t>
            </w:r>
          </w:p>
        </w:tc>
        <w:tc>
          <w:tcPr>
            <w:tcW w:w="726" w:type="pct"/>
            <w:gridSpan w:val="2"/>
            <w:vAlign w:val="center"/>
          </w:tcPr>
          <w:p w14:paraId="576223F8">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第三节桩</w:t>
            </w:r>
          </w:p>
        </w:tc>
        <w:tc>
          <w:tcPr>
            <w:tcW w:w="1099" w:type="pct"/>
            <w:gridSpan w:val="3"/>
            <w:vAlign w:val="center"/>
          </w:tcPr>
          <w:p w14:paraId="05D07526">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送桩</w:t>
            </w:r>
          </w:p>
        </w:tc>
        <w:tc>
          <w:tcPr>
            <w:tcW w:w="188" w:type="pct"/>
            <w:vMerge w:val="restart"/>
            <w:vAlign w:val="center"/>
          </w:tcPr>
          <w:p w14:paraId="554F6ECD">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垂直度</w:t>
            </w:r>
          </w:p>
        </w:tc>
        <w:tc>
          <w:tcPr>
            <w:tcW w:w="321" w:type="pct"/>
            <w:vMerge w:val="restart"/>
            <w:vAlign w:val="center"/>
          </w:tcPr>
          <w:p w14:paraId="741F850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入土深度（m）</w:t>
            </w:r>
          </w:p>
        </w:tc>
        <w:tc>
          <w:tcPr>
            <w:tcW w:w="321" w:type="pct"/>
            <w:vMerge w:val="restart"/>
            <w:vAlign w:val="center"/>
          </w:tcPr>
          <w:p w14:paraId="591D954E">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桩顶设计标高（m）</w:t>
            </w:r>
          </w:p>
        </w:tc>
        <w:tc>
          <w:tcPr>
            <w:tcW w:w="321" w:type="pct"/>
            <w:vMerge w:val="restart"/>
            <w:vAlign w:val="center"/>
          </w:tcPr>
          <w:p w14:paraId="3FE6A39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桩顶实际标高（m）</w:t>
            </w:r>
          </w:p>
        </w:tc>
      </w:tr>
      <w:tr w14:paraId="675D0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71" w:type="pct"/>
            <w:vMerge w:val="continue"/>
            <w:vAlign w:val="center"/>
          </w:tcPr>
          <w:p w14:paraId="58E53CC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190" w:type="pct"/>
            <w:vMerge w:val="continue"/>
            <w:vAlign w:val="center"/>
          </w:tcPr>
          <w:p w14:paraId="26331E80">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03" w:type="pct"/>
            <w:vMerge w:val="continue"/>
            <w:vAlign w:val="center"/>
          </w:tcPr>
          <w:p w14:paraId="3D9F3920">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35" w:type="pct"/>
            <w:vAlign w:val="center"/>
          </w:tcPr>
          <w:p w14:paraId="5E9D9797">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节长</w:t>
            </w:r>
          </w:p>
          <w:p w14:paraId="05668896">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（m）</w:t>
            </w:r>
          </w:p>
        </w:tc>
        <w:tc>
          <w:tcPr>
            <w:tcW w:w="385" w:type="pct"/>
            <w:vAlign w:val="center"/>
          </w:tcPr>
          <w:p w14:paraId="7D712FEE">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油压值</w:t>
            </w:r>
          </w:p>
          <w:p w14:paraId="067CC14B">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（MPa）</w:t>
            </w:r>
          </w:p>
        </w:tc>
        <w:tc>
          <w:tcPr>
            <w:tcW w:w="326" w:type="pct"/>
            <w:vAlign w:val="center"/>
          </w:tcPr>
          <w:p w14:paraId="63D3914E">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节长</w:t>
            </w:r>
          </w:p>
          <w:p w14:paraId="742EB8A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（m）</w:t>
            </w:r>
          </w:p>
        </w:tc>
        <w:tc>
          <w:tcPr>
            <w:tcW w:w="405" w:type="pct"/>
            <w:vAlign w:val="center"/>
          </w:tcPr>
          <w:p w14:paraId="37CC44B5">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油压值</w:t>
            </w:r>
          </w:p>
          <w:p w14:paraId="2ED0927D">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（MPa）</w:t>
            </w:r>
          </w:p>
        </w:tc>
        <w:tc>
          <w:tcPr>
            <w:tcW w:w="321" w:type="pct"/>
            <w:vAlign w:val="center"/>
          </w:tcPr>
          <w:p w14:paraId="36EE1BC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节长（m）</w:t>
            </w:r>
          </w:p>
        </w:tc>
        <w:tc>
          <w:tcPr>
            <w:tcW w:w="405" w:type="pct"/>
            <w:vAlign w:val="center"/>
          </w:tcPr>
          <w:p w14:paraId="08687C0D">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油压值</w:t>
            </w:r>
          </w:p>
          <w:p w14:paraId="43431524">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（MPa）</w:t>
            </w:r>
          </w:p>
        </w:tc>
        <w:tc>
          <w:tcPr>
            <w:tcW w:w="321" w:type="pct"/>
            <w:vAlign w:val="center"/>
          </w:tcPr>
          <w:p w14:paraId="3E2BE482">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深度</w:t>
            </w:r>
          </w:p>
          <w:p w14:paraId="50C20DE9">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（m）</w:t>
            </w:r>
          </w:p>
        </w:tc>
        <w:tc>
          <w:tcPr>
            <w:tcW w:w="404" w:type="pct"/>
            <w:vAlign w:val="center"/>
          </w:tcPr>
          <w:p w14:paraId="341CF6F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油压值</w:t>
            </w:r>
          </w:p>
          <w:p w14:paraId="09B87576">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（MPa）</w:t>
            </w:r>
          </w:p>
        </w:tc>
        <w:tc>
          <w:tcPr>
            <w:tcW w:w="373" w:type="pct"/>
            <w:vAlign w:val="center"/>
          </w:tcPr>
          <w:p w14:paraId="0BD7CFF0">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压桩力</w:t>
            </w:r>
          </w:p>
          <w:p w14:paraId="079A5963">
            <w:pPr>
              <w:spacing w:line="200" w:lineRule="exact"/>
              <w:ind w:left="-63" w:leftChars="-30" w:right="-63" w:rightChars="-30"/>
              <w:jc w:val="center"/>
              <w:rPr>
                <w:rFonts w:hint="default" w:ascii="Times New Roman" w:hAnsi="Times New Roman" w:cs="Times New Roman" w:eastAsiaTheme="minorEastAsia"/>
                <w:sz w:val="15"/>
                <w:szCs w:val="15"/>
                <w:highlight w:val="none"/>
              </w:rPr>
            </w:pPr>
            <w:r>
              <w:rPr>
                <w:rFonts w:hint="default" w:ascii="Times New Roman" w:hAnsi="Times New Roman" w:cs="Times New Roman" w:eastAsiaTheme="minorEastAsia"/>
                <w:sz w:val="15"/>
                <w:szCs w:val="15"/>
                <w:highlight w:val="none"/>
              </w:rPr>
              <w:t>（</w:t>
            </w:r>
            <w:r>
              <w:rPr>
                <w:rFonts w:hint="eastAsia" w:ascii="Times New Roman" w:hAnsi="Times New Roman" w:cs="Times New Roman" w:eastAsiaTheme="minorEastAsia"/>
                <w:sz w:val="15"/>
                <w:szCs w:val="15"/>
                <w:highlight w:val="none"/>
                <w:lang w:val="en-US" w:eastAsia="zh-CN"/>
              </w:rPr>
              <w:t>kN</w:t>
            </w:r>
            <w:r>
              <w:rPr>
                <w:rFonts w:hint="default" w:ascii="Times New Roman" w:hAnsi="Times New Roman" w:cs="Times New Roman" w:eastAsiaTheme="minorEastAsia"/>
                <w:sz w:val="15"/>
                <w:szCs w:val="15"/>
                <w:highlight w:val="none"/>
              </w:rPr>
              <w:t>）</w:t>
            </w:r>
          </w:p>
        </w:tc>
        <w:tc>
          <w:tcPr>
            <w:tcW w:w="188" w:type="pct"/>
            <w:vMerge w:val="continue"/>
            <w:vAlign w:val="center"/>
          </w:tcPr>
          <w:p w14:paraId="15B20E23">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21" w:type="pct"/>
            <w:vMerge w:val="continue"/>
            <w:vAlign w:val="center"/>
          </w:tcPr>
          <w:p w14:paraId="17BE7288">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21" w:type="pct"/>
            <w:vMerge w:val="continue"/>
            <w:vAlign w:val="center"/>
          </w:tcPr>
          <w:p w14:paraId="7FFB440B">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21" w:type="pct"/>
            <w:vMerge w:val="continue"/>
            <w:vAlign w:val="center"/>
          </w:tcPr>
          <w:p w14:paraId="1BF70DA1">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r>
      <w:tr w14:paraId="51BE2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71" w:type="pct"/>
            <w:vAlign w:val="center"/>
          </w:tcPr>
          <w:p w14:paraId="20DE3470">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190" w:type="pct"/>
            <w:vAlign w:val="center"/>
          </w:tcPr>
          <w:p w14:paraId="4BFC714B">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203" w:type="pct"/>
            <w:vAlign w:val="center"/>
          </w:tcPr>
          <w:p w14:paraId="03DAF34F">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35" w:type="pct"/>
            <w:vAlign w:val="center"/>
          </w:tcPr>
          <w:p w14:paraId="5B43BD02">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85" w:type="pct"/>
            <w:vAlign w:val="center"/>
          </w:tcPr>
          <w:p w14:paraId="4059CCAE">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26" w:type="pct"/>
            <w:vAlign w:val="center"/>
          </w:tcPr>
          <w:p w14:paraId="04CF2BD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405" w:type="pct"/>
            <w:vAlign w:val="center"/>
          </w:tcPr>
          <w:p w14:paraId="771BEA4D">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21" w:type="pct"/>
            <w:vAlign w:val="center"/>
          </w:tcPr>
          <w:p w14:paraId="79FC74F6">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405" w:type="pct"/>
            <w:vAlign w:val="center"/>
          </w:tcPr>
          <w:p w14:paraId="74A389F5">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21" w:type="pct"/>
            <w:vAlign w:val="center"/>
          </w:tcPr>
          <w:p w14:paraId="221D81D9">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404" w:type="pct"/>
            <w:vAlign w:val="center"/>
          </w:tcPr>
          <w:p w14:paraId="16994B3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73" w:type="pct"/>
            <w:vAlign w:val="center"/>
          </w:tcPr>
          <w:p w14:paraId="62A81B7A">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188" w:type="pct"/>
            <w:vAlign w:val="center"/>
          </w:tcPr>
          <w:p w14:paraId="0B1F826A">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21" w:type="pct"/>
            <w:vAlign w:val="center"/>
          </w:tcPr>
          <w:p w14:paraId="2B63B37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21" w:type="pct"/>
            <w:vAlign w:val="center"/>
          </w:tcPr>
          <w:p w14:paraId="6E0B4024">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c>
          <w:tcPr>
            <w:tcW w:w="321" w:type="pct"/>
            <w:vAlign w:val="center"/>
          </w:tcPr>
          <w:p w14:paraId="5AC7998E">
            <w:pPr>
              <w:spacing w:line="200" w:lineRule="exact"/>
              <w:ind w:left="-63" w:leftChars="-30" w:right="-63" w:rightChars="-30"/>
              <w:jc w:val="center"/>
              <w:rPr>
                <w:rFonts w:hint="default" w:ascii="Times New Roman" w:hAnsi="Times New Roman" w:cs="Times New Roman" w:eastAsiaTheme="minorEastAsia"/>
                <w:sz w:val="15"/>
                <w:szCs w:val="15"/>
                <w:highlight w:val="none"/>
              </w:rPr>
            </w:pPr>
          </w:p>
        </w:tc>
      </w:tr>
      <w:tr w14:paraId="34E2D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71" w:type="pct"/>
            <w:vAlign w:val="center"/>
          </w:tcPr>
          <w:p w14:paraId="575B0243">
            <w:pPr>
              <w:jc w:val="center"/>
              <w:rPr>
                <w:rFonts w:ascii="Times New Roman" w:hAnsi="Times New Roman" w:cs="Times New Roman"/>
                <w:sz w:val="15"/>
                <w:szCs w:val="15"/>
                <w:highlight w:val="none"/>
              </w:rPr>
            </w:pPr>
          </w:p>
        </w:tc>
        <w:tc>
          <w:tcPr>
            <w:tcW w:w="190" w:type="pct"/>
            <w:vAlign w:val="center"/>
          </w:tcPr>
          <w:p w14:paraId="63B570B8">
            <w:pPr>
              <w:jc w:val="center"/>
              <w:rPr>
                <w:rFonts w:ascii="Times New Roman" w:hAnsi="Times New Roman" w:cs="Times New Roman"/>
                <w:sz w:val="15"/>
                <w:szCs w:val="15"/>
                <w:highlight w:val="none"/>
              </w:rPr>
            </w:pPr>
          </w:p>
        </w:tc>
        <w:tc>
          <w:tcPr>
            <w:tcW w:w="203" w:type="pct"/>
            <w:vAlign w:val="center"/>
          </w:tcPr>
          <w:p w14:paraId="5F2F0EAC">
            <w:pPr>
              <w:jc w:val="center"/>
              <w:rPr>
                <w:rFonts w:ascii="Times New Roman" w:hAnsi="Times New Roman" w:cs="Times New Roman"/>
                <w:sz w:val="15"/>
                <w:szCs w:val="15"/>
                <w:highlight w:val="none"/>
              </w:rPr>
            </w:pPr>
          </w:p>
        </w:tc>
        <w:tc>
          <w:tcPr>
            <w:tcW w:w="335" w:type="pct"/>
            <w:vAlign w:val="center"/>
          </w:tcPr>
          <w:p w14:paraId="09754DD0">
            <w:pPr>
              <w:jc w:val="center"/>
              <w:rPr>
                <w:rFonts w:ascii="Times New Roman" w:hAnsi="Times New Roman" w:cs="Times New Roman"/>
                <w:sz w:val="15"/>
                <w:szCs w:val="15"/>
                <w:highlight w:val="none"/>
              </w:rPr>
            </w:pPr>
          </w:p>
        </w:tc>
        <w:tc>
          <w:tcPr>
            <w:tcW w:w="385" w:type="pct"/>
            <w:vAlign w:val="center"/>
          </w:tcPr>
          <w:p w14:paraId="5F0777D8">
            <w:pPr>
              <w:jc w:val="center"/>
              <w:rPr>
                <w:rFonts w:ascii="Times New Roman" w:hAnsi="Times New Roman" w:cs="Times New Roman"/>
                <w:sz w:val="15"/>
                <w:szCs w:val="15"/>
                <w:highlight w:val="none"/>
              </w:rPr>
            </w:pPr>
          </w:p>
        </w:tc>
        <w:tc>
          <w:tcPr>
            <w:tcW w:w="326" w:type="pct"/>
            <w:vAlign w:val="center"/>
          </w:tcPr>
          <w:p w14:paraId="31DA8D06">
            <w:pPr>
              <w:jc w:val="center"/>
              <w:rPr>
                <w:rFonts w:ascii="Times New Roman" w:hAnsi="Times New Roman" w:cs="Times New Roman"/>
                <w:sz w:val="15"/>
                <w:szCs w:val="15"/>
                <w:highlight w:val="none"/>
              </w:rPr>
            </w:pPr>
          </w:p>
        </w:tc>
        <w:tc>
          <w:tcPr>
            <w:tcW w:w="405" w:type="pct"/>
            <w:vAlign w:val="center"/>
          </w:tcPr>
          <w:p w14:paraId="2C9F4D41">
            <w:pPr>
              <w:jc w:val="center"/>
              <w:rPr>
                <w:rFonts w:ascii="Times New Roman" w:hAnsi="Times New Roman" w:cs="Times New Roman"/>
                <w:sz w:val="15"/>
                <w:szCs w:val="15"/>
                <w:highlight w:val="none"/>
              </w:rPr>
            </w:pPr>
          </w:p>
        </w:tc>
        <w:tc>
          <w:tcPr>
            <w:tcW w:w="321" w:type="pct"/>
            <w:vAlign w:val="center"/>
          </w:tcPr>
          <w:p w14:paraId="41BD28A5">
            <w:pPr>
              <w:jc w:val="center"/>
              <w:rPr>
                <w:rFonts w:ascii="Times New Roman" w:hAnsi="Times New Roman" w:cs="Times New Roman"/>
                <w:sz w:val="15"/>
                <w:szCs w:val="15"/>
                <w:highlight w:val="none"/>
              </w:rPr>
            </w:pPr>
          </w:p>
        </w:tc>
        <w:tc>
          <w:tcPr>
            <w:tcW w:w="405" w:type="pct"/>
            <w:vAlign w:val="center"/>
          </w:tcPr>
          <w:p w14:paraId="7BF20E4E">
            <w:pPr>
              <w:jc w:val="center"/>
              <w:rPr>
                <w:rFonts w:ascii="Times New Roman" w:hAnsi="Times New Roman" w:cs="Times New Roman"/>
                <w:sz w:val="15"/>
                <w:szCs w:val="15"/>
                <w:highlight w:val="none"/>
              </w:rPr>
            </w:pPr>
          </w:p>
        </w:tc>
        <w:tc>
          <w:tcPr>
            <w:tcW w:w="321" w:type="pct"/>
            <w:vAlign w:val="center"/>
          </w:tcPr>
          <w:p w14:paraId="4FD9F504">
            <w:pPr>
              <w:jc w:val="center"/>
              <w:rPr>
                <w:rFonts w:ascii="Times New Roman" w:hAnsi="Times New Roman" w:cs="Times New Roman"/>
                <w:sz w:val="15"/>
                <w:szCs w:val="15"/>
                <w:highlight w:val="none"/>
              </w:rPr>
            </w:pPr>
          </w:p>
        </w:tc>
        <w:tc>
          <w:tcPr>
            <w:tcW w:w="404" w:type="pct"/>
            <w:vAlign w:val="center"/>
          </w:tcPr>
          <w:p w14:paraId="5FE273E5">
            <w:pPr>
              <w:jc w:val="center"/>
              <w:rPr>
                <w:rFonts w:ascii="Times New Roman" w:hAnsi="Times New Roman" w:cs="Times New Roman"/>
                <w:sz w:val="15"/>
                <w:szCs w:val="15"/>
                <w:highlight w:val="none"/>
              </w:rPr>
            </w:pPr>
          </w:p>
        </w:tc>
        <w:tc>
          <w:tcPr>
            <w:tcW w:w="373" w:type="pct"/>
            <w:vAlign w:val="center"/>
          </w:tcPr>
          <w:p w14:paraId="7665C4F9">
            <w:pPr>
              <w:jc w:val="center"/>
              <w:rPr>
                <w:rFonts w:ascii="Times New Roman" w:hAnsi="Times New Roman" w:cs="Times New Roman"/>
                <w:sz w:val="15"/>
                <w:szCs w:val="15"/>
                <w:highlight w:val="none"/>
              </w:rPr>
            </w:pPr>
          </w:p>
        </w:tc>
        <w:tc>
          <w:tcPr>
            <w:tcW w:w="188" w:type="pct"/>
            <w:vAlign w:val="center"/>
          </w:tcPr>
          <w:p w14:paraId="07EDAC0A">
            <w:pPr>
              <w:jc w:val="center"/>
              <w:rPr>
                <w:rFonts w:ascii="Times New Roman" w:hAnsi="Times New Roman" w:cs="Times New Roman"/>
                <w:sz w:val="15"/>
                <w:szCs w:val="15"/>
                <w:highlight w:val="none"/>
              </w:rPr>
            </w:pPr>
          </w:p>
        </w:tc>
        <w:tc>
          <w:tcPr>
            <w:tcW w:w="321" w:type="pct"/>
            <w:vAlign w:val="center"/>
          </w:tcPr>
          <w:p w14:paraId="4BEF8EBA">
            <w:pPr>
              <w:jc w:val="center"/>
              <w:rPr>
                <w:rFonts w:ascii="Times New Roman" w:hAnsi="Times New Roman" w:cs="Times New Roman"/>
                <w:sz w:val="15"/>
                <w:szCs w:val="15"/>
                <w:highlight w:val="none"/>
              </w:rPr>
            </w:pPr>
          </w:p>
        </w:tc>
        <w:tc>
          <w:tcPr>
            <w:tcW w:w="321" w:type="pct"/>
            <w:vAlign w:val="center"/>
          </w:tcPr>
          <w:p w14:paraId="6BEC97F1">
            <w:pPr>
              <w:jc w:val="center"/>
              <w:rPr>
                <w:rFonts w:ascii="Times New Roman" w:hAnsi="Times New Roman" w:cs="Times New Roman"/>
                <w:sz w:val="15"/>
                <w:szCs w:val="15"/>
                <w:highlight w:val="none"/>
              </w:rPr>
            </w:pPr>
          </w:p>
        </w:tc>
        <w:tc>
          <w:tcPr>
            <w:tcW w:w="321" w:type="pct"/>
            <w:vAlign w:val="center"/>
          </w:tcPr>
          <w:p w14:paraId="01BC6A75">
            <w:pPr>
              <w:jc w:val="center"/>
              <w:rPr>
                <w:rFonts w:ascii="Times New Roman" w:hAnsi="Times New Roman" w:cs="Times New Roman"/>
                <w:sz w:val="15"/>
                <w:szCs w:val="15"/>
                <w:highlight w:val="none"/>
              </w:rPr>
            </w:pPr>
          </w:p>
        </w:tc>
      </w:tr>
      <w:tr w14:paraId="43BBD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71" w:type="pct"/>
            <w:vAlign w:val="center"/>
          </w:tcPr>
          <w:p w14:paraId="2A646D72">
            <w:pPr>
              <w:jc w:val="center"/>
              <w:rPr>
                <w:rFonts w:ascii="Times New Roman" w:hAnsi="Times New Roman" w:cs="Times New Roman"/>
                <w:sz w:val="15"/>
                <w:szCs w:val="15"/>
                <w:highlight w:val="none"/>
              </w:rPr>
            </w:pPr>
          </w:p>
        </w:tc>
        <w:tc>
          <w:tcPr>
            <w:tcW w:w="190" w:type="pct"/>
            <w:vAlign w:val="center"/>
          </w:tcPr>
          <w:p w14:paraId="4894239D">
            <w:pPr>
              <w:jc w:val="center"/>
              <w:rPr>
                <w:rFonts w:ascii="Times New Roman" w:hAnsi="Times New Roman" w:cs="Times New Roman"/>
                <w:sz w:val="15"/>
                <w:szCs w:val="15"/>
                <w:highlight w:val="none"/>
              </w:rPr>
            </w:pPr>
          </w:p>
        </w:tc>
        <w:tc>
          <w:tcPr>
            <w:tcW w:w="203" w:type="pct"/>
            <w:vAlign w:val="center"/>
          </w:tcPr>
          <w:p w14:paraId="1AD8965E">
            <w:pPr>
              <w:jc w:val="center"/>
              <w:rPr>
                <w:rFonts w:ascii="Times New Roman" w:hAnsi="Times New Roman" w:cs="Times New Roman"/>
                <w:sz w:val="15"/>
                <w:szCs w:val="15"/>
                <w:highlight w:val="none"/>
              </w:rPr>
            </w:pPr>
          </w:p>
        </w:tc>
        <w:tc>
          <w:tcPr>
            <w:tcW w:w="335" w:type="pct"/>
            <w:vAlign w:val="center"/>
          </w:tcPr>
          <w:p w14:paraId="3F9BA94F">
            <w:pPr>
              <w:jc w:val="center"/>
              <w:rPr>
                <w:rFonts w:ascii="Times New Roman" w:hAnsi="Times New Roman" w:cs="Times New Roman"/>
                <w:sz w:val="15"/>
                <w:szCs w:val="15"/>
                <w:highlight w:val="none"/>
              </w:rPr>
            </w:pPr>
          </w:p>
        </w:tc>
        <w:tc>
          <w:tcPr>
            <w:tcW w:w="385" w:type="pct"/>
            <w:vAlign w:val="center"/>
          </w:tcPr>
          <w:p w14:paraId="0DF4A25E">
            <w:pPr>
              <w:jc w:val="center"/>
              <w:rPr>
                <w:rFonts w:ascii="Times New Roman" w:hAnsi="Times New Roman" w:cs="Times New Roman"/>
                <w:sz w:val="15"/>
                <w:szCs w:val="15"/>
                <w:highlight w:val="none"/>
              </w:rPr>
            </w:pPr>
          </w:p>
        </w:tc>
        <w:tc>
          <w:tcPr>
            <w:tcW w:w="326" w:type="pct"/>
            <w:vAlign w:val="center"/>
          </w:tcPr>
          <w:p w14:paraId="2F7529A4">
            <w:pPr>
              <w:jc w:val="center"/>
              <w:rPr>
                <w:rFonts w:ascii="Times New Roman" w:hAnsi="Times New Roman" w:cs="Times New Roman"/>
                <w:sz w:val="15"/>
                <w:szCs w:val="15"/>
                <w:highlight w:val="none"/>
              </w:rPr>
            </w:pPr>
          </w:p>
        </w:tc>
        <w:tc>
          <w:tcPr>
            <w:tcW w:w="405" w:type="pct"/>
            <w:vAlign w:val="center"/>
          </w:tcPr>
          <w:p w14:paraId="04CD6EE7">
            <w:pPr>
              <w:jc w:val="center"/>
              <w:rPr>
                <w:rFonts w:ascii="Times New Roman" w:hAnsi="Times New Roman" w:cs="Times New Roman"/>
                <w:sz w:val="15"/>
                <w:szCs w:val="15"/>
                <w:highlight w:val="none"/>
              </w:rPr>
            </w:pPr>
          </w:p>
        </w:tc>
        <w:tc>
          <w:tcPr>
            <w:tcW w:w="321" w:type="pct"/>
            <w:vAlign w:val="center"/>
          </w:tcPr>
          <w:p w14:paraId="3F1E38E9">
            <w:pPr>
              <w:jc w:val="center"/>
              <w:rPr>
                <w:rFonts w:ascii="Times New Roman" w:hAnsi="Times New Roman" w:cs="Times New Roman"/>
                <w:sz w:val="15"/>
                <w:szCs w:val="15"/>
                <w:highlight w:val="none"/>
              </w:rPr>
            </w:pPr>
          </w:p>
        </w:tc>
        <w:tc>
          <w:tcPr>
            <w:tcW w:w="405" w:type="pct"/>
            <w:vAlign w:val="center"/>
          </w:tcPr>
          <w:p w14:paraId="5D7E1C1F">
            <w:pPr>
              <w:jc w:val="center"/>
              <w:rPr>
                <w:rFonts w:ascii="Times New Roman" w:hAnsi="Times New Roman" w:cs="Times New Roman"/>
                <w:sz w:val="15"/>
                <w:szCs w:val="15"/>
                <w:highlight w:val="none"/>
              </w:rPr>
            </w:pPr>
          </w:p>
        </w:tc>
        <w:tc>
          <w:tcPr>
            <w:tcW w:w="321" w:type="pct"/>
            <w:vAlign w:val="center"/>
          </w:tcPr>
          <w:p w14:paraId="3D5AA3D3">
            <w:pPr>
              <w:jc w:val="center"/>
              <w:rPr>
                <w:rFonts w:ascii="Times New Roman" w:hAnsi="Times New Roman" w:cs="Times New Roman"/>
                <w:sz w:val="15"/>
                <w:szCs w:val="15"/>
                <w:highlight w:val="none"/>
              </w:rPr>
            </w:pPr>
          </w:p>
        </w:tc>
        <w:tc>
          <w:tcPr>
            <w:tcW w:w="404" w:type="pct"/>
            <w:vAlign w:val="center"/>
          </w:tcPr>
          <w:p w14:paraId="2E6B8E70">
            <w:pPr>
              <w:jc w:val="center"/>
              <w:rPr>
                <w:rFonts w:ascii="Times New Roman" w:hAnsi="Times New Roman" w:cs="Times New Roman"/>
                <w:sz w:val="15"/>
                <w:szCs w:val="15"/>
                <w:highlight w:val="none"/>
              </w:rPr>
            </w:pPr>
          </w:p>
        </w:tc>
        <w:tc>
          <w:tcPr>
            <w:tcW w:w="373" w:type="pct"/>
            <w:vAlign w:val="center"/>
          </w:tcPr>
          <w:p w14:paraId="62DE018C">
            <w:pPr>
              <w:jc w:val="center"/>
              <w:rPr>
                <w:rFonts w:ascii="Times New Roman" w:hAnsi="Times New Roman" w:cs="Times New Roman"/>
                <w:sz w:val="15"/>
                <w:szCs w:val="15"/>
                <w:highlight w:val="none"/>
              </w:rPr>
            </w:pPr>
          </w:p>
        </w:tc>
        <w:tc>
          <w:tcPr>
            <w:tcW w:w="188" w:type="pct"/>
            <w:vAlign w:val="center"/>
          </w:tcPr>
          <w:p w14:paraId="1FAE2D0C">
            <w:pPr>
              <w:jc w:val="center"/>
              <w:rPr>
                <w:rFonts w:ascii="Times New Roman" w:hAnsi="Times New Roman" w:cs="Times New Roman"/>
                <w:sz w:val="15"/>
                <w:szCs w:val="15"/>
                <w:highlight w:val="none"/>
              </w:rPr>
            </w:pPr>
          </w:p>
        </w:tc>
        <w:tc>
          <w:tcPr>
            <w:tcW w:w="321" w:type="pct"/>
            <w:vAlign w:val="center"/>
          </w:tcPr>
          <w:p w14:paraId="3D0252CF">
            <w:pPr>
              <w:jc w:val="center"/>
              <w:rPr>
                <w:rFonts w:ascii="Times New Roman" w:hAnsi="Times New Roman" w:cs="Times New Roman"/>
                <w:sz w:val="15"/>
                <w:szCs w:val="15"/>
                <w:highlight w:val="none"/>
              </w:rPr>
            </w:pPr>
          </w:p>
        </w:tc>
        <w:tc>
          <w:tcPr>
            <w:tcW w:w="321" w:type="pct"/>
            <w:vAlign w:val="center"/>
          </w:tcPr>
          <w:p w14:paraId="219235B2">
            <w:pPr>
              <w:jc w:val="center"/>
              <w:rPr>
                <w:rFonts w:ascii="Times New Roman" w:hAnsi="Times New Roman" w:cs="Times New Roman"/>
                <w:sz w:val="15"/>
                <w:szCs w:val="15"/>
                <w:highlight w:val="none"/>
              </w:rPr>
            </w:pPr>
          </w:p>
        </w:tc>
        <w:tc>
          <w:tcPr>
            <w:tcW w:w="321" w:type="pct"/>
            <w:vAlign w:val="center"/>
          </w:tcPr>
          <w:p w14:paraId="3DA0C655">
            <w:pPr>
              <w:jc w:val="center"/>
              <w:rPr>
                <w:rFonts w:ascii="Times New Roman" w:hAnsi="Times New Roman" w:cs="Times New Roman"/>
                <w:sz w:val="15"/>
                <w:szCs w:val="15"/>
                <w:highlight w:val="none"/>
              </w:rPr>
            </w:pPr>
          </w:p>
        </w:tc>
      </w:tr>
      <w:tr w14:paraId="62DA4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71" w:type="pct"/>
            <w:vAlign w:val="center"/>
          </w:tcPr>
          <w:p w14:paraId="3DF40DF0">
            <w:pPr>
              <w:jc w:val="center"/>
              <w:rPr>
                <w:rFonts w:ascii="Times New Roman" w:hAnsi="Times New Roman" w:cs="Times New Roman"/>
                <w:sz w:val="15"/>
                <w:szCs w:val="15"/>
                <w:highlight w:val="none"/>
              </w:rPr>
            </w:pPr>
          </w:p>
        </w:tc>
        <w:tc>
          <w:tcPr>
            <w:tcW w:w="190" w:type="pct"/>
            <w:vAlign w:val="center"/>
          </w:tcPr>
          <w:p w14:paraId="4CDFE69E">
            <w:pPr>
              <w:jc w:val="center"/>
              <w:rPr>
                <w:rFonts w:ascii="Times New Roman" w:hAnsi="Times New Roman" w:cs="Times New Roman"/>
                <w:sz w:val="15"/>
                <w:szCs w:val="15"/>
                <w:highlight w:val="none"/>
              </w:rPr>
            </w:pPr>
          </w:p>
        </w:tc>
        <w:tc>
          <w:tcPr>
            <w:tcW w:w="203" w:type="pct"/>
            <w:vAlign w:val="center"/>
          </w:tcPr>
          <w:p w14:paraId="3F751754">
            <w:pPr>
              <w:jc w:val="center"/>
              <w:rPr>
                <w:rFonts w:ascii="Times New Roman" w:hAnsi="Times New Roman" w:cs="Times New Roman"/>
                <w:sz w:val="15"/>
                <w:szCs w:val="15"/>
                <w:highlight w:val="none"/>
              </w:rPr>
            </w:pPr>
          </w:p>
        </w:tc>
        <w:tc>
          <w:tcPr>
            <w:tcW w:w="335" w:type="pct"/>
            <w:vAlign w:val="center"/>
          </w:tcPr>
          <w:p w14:paraId="277EE473">
            <w:pPr>
              <w:jc w:val="center"/>
              <w:rPr>
                <w:rFonts w:ascii="Times New Roman" w:hAnsi="Times New Roman" w:cs="Times New Roman"/>
                <w:sz w:val="15"/>
                <w:szCs w:val="15"/>
                <w:highlight w:val="none"/>
              </w:rPr>
            </w:pPr>
          </w:p>
        </w:tc>
        <w:tc>
          <w:tcPr>
            <w:tcW w:w="385" w:type="pct"/>
            <w:vAlign w:val="center"/>
          </w:tcPr>
          <w:p w14:paraId="3BF6DD89">
            <w:pPr>
              <w:jc w:val="center"/>
              <w:rPr>
                <w:rFonts w:ascii="Times New Roman" w:hAnsi="Times New Roman" w:cs="Times New Roman"/>
                <w:sz w:val="15"/>
                <w:szCs w:val="15"/>
                <w:highlight w:val="none"/>
              </w:rPr>
            </w:pPr>
          </w:p>
        </w:tc>
        <w:tc>
          <w:tcPr>
            <w:tcW w:w="326" w:type="pct"/>
            <w:vAlign w:val="center"/>
          </w:tcPr>
          <w:p w14:paraId="705A3A90">
            <w:pPr>
              <w:jc w:val="center"/>
              <w:rPr>
                <w:rFonts w:ascii="Times New Roman" w:hAnsi="Times New Roman" w:cs="Times New Roman"/>
                <w:sz w:val="15"/>
                <w:szCs w:val="15"/>
                <w:highlight w:val="none"/>
              </w:rPr>
            </w:pPr>
          </w:p>
        </w:tc>
        <w:tc>
          <w:tcPr>
            <w:tcW w:w="405" w:type="pct"/>
            <w:vAlign w:val="center"/>
          </w:tcPr>
          <w:p w14:paraId="7B13FF9D">
            <w:pPr>
              <w:jc w:val="center"/>
              <w:rPr>
                <w:rFonts w:ascii="Times New Roman" w:hAnsi="Times New Roman" w:cs="Times New Roman"/>
                <w:sz w:val="15"/>
                <w:szCs w:val="15"/>
                <w:highlight w:val="none"/>
              </w:rPr>
            </w:pPr>
          </w:p>
        </w:tc>
        <w:tc>
          <w:tcPr>
            <w:tcW w:w="321" w:type="pct"/>
            <w:vAlign w:val="center"/>
          </w:tcPr>
          <w:p w14:paraId="6C382DDC">
            <w:pPr>
              <w:jc w:val="center"/>
              <w:rPr>
                <w:rFonts w:ascii="Times New Roman" w:hAnsi="Times New Roman" w:cs="Times New Roman"/>
                <w:sz w:val="15"/>
                <w:szCs w:val="15"/>
                <w:highlight w:val="none"/>
              </w:rPr>
            </w:pPr>
          </w:p>
        </w:tc>
        <w:tc>
          <w:tcPr>
            <w:tcW w:w="405" w:type="pct"/>
            <w:vAlign w:val="center"/>
          </w:tcPr>
          <w:p w14:paraId="4D49C7DC">
            <w:pPr>
              <w:jc w:val="center"/>
              <w:rPr>
                <w:rFonts w:ascii="Times New Roman" w:hAnsi="Times New Roman" w:cs="Times New Roman"/>
                <w:sz w:val="15"/>
                <w:szCs w:val="15"/>
                <w:highlight w:val="none"/>
              </w:rPr>
            </w:pPr>
          </w:p>
        </w:tc>
        <w:tc>
          <w:tcPr>
            <w:tcW w:w="321" w:type="pct"/>
            <w:vAlign w:val="center"/>
          </w:tcPr>
          <w:p w14:paraId="1F933002">
            <w:pPr>
              <w:jc w:val="center"/>
              <w:rPr>
                <w:rFonts w:ascii="Times New Roman" w:hAnsi="Times New Roman" w:cs="Times New Roman"/>
                <w:sz w:val="15"/>
                <w:szCs w:val="15"/>
                <w:highlight w:val="none"/>
              </w:rPr>
            </w:pPr>
          </w:p>
        </w:tc>
        <w:tc>
          <w:tcPr>
            <w:tcW w:w="404" w:type="pct"/>
            <w:vAlign w:val="center"/>
          </w:tcPr>
          <w:p w14:paraId="76949D6D">
            <w:pPr>
              <w:jc w:val="center"/>
              <w:rPr>
                <w:rFonts w:ascii="Times New Roman" w:hAnsi="Times New Roman" w:cs="Times New Roman"/>
                <w:sz w:val="15"/>
                <w:szCs w:val="15"/>
                <w:highlight w:val="none"/>
              </w:rPr>
            </w:pPr>
          </w:p>
        </w:tc>
        <w:tc>
          <w:tcPr>
            <w:tcW w:w="373" w:type="pct"/>
            <w:vAlign w:val="center"/>
          </w:tcPr>
          <w:p w14:paraId="2C39D640">
            <w:pPr>
              <w:jc w:val="center"/>
              <w:rPr>
                <w:rFonts w:ascii="Times New Roman" w:hAnsi="Times New Roman" w:cs="Times New Roman"/>
                <w:sz w:val="15"/>
                <w:szCs w:val="15"/>
                <w:highlight w:val="none"/>
              </w:rPr>
            </w:pPr>
          </w:p>
        </w:tc>
        <w:tc>
          <w:tcPr>
            <w:tcW w:w="188" w:type="pct"/>
            <w:vAlign w:val="center"/>
          </w:tcPr>
          <w:p w14:paraId="71B1DEA8">
            <w:pPr>
              <w:jc w:val="center"/>
              <w:rPr>
                <w:rFonts w:ascii="Times New Roman" w:hAnsi="Times New Roman" w:cs="Times New Roman"/>
                <w:sz w:val="15"/>
                <w:szCs w:val="15"/>
                <w:highlight w:val="none"/>
              </w:rPr>
            </w:pPr>
          </w:p>
        </w:tc>
        <w:tc>
          <w:tcPr>
            <w:tcW w:w="321" w:type="pct"/>
            <w:vAlign w:val="center"/>
          </w:tcPr>
          <w:p w14:paraId="0F7C4670">
            <w:pPr>
              <w:jc w:val="center"/>
              <w:rPr>
                <w:rFonts w:ascii="Times New Roman" w:hAnsi="Times New Roman" w:cs="Times New Roman"/>
                <w:sz w:val="15"/>
                <w:szCs w:val="15"/>
                <w:highlight w:val="none"/>
              </w:rPr>
            </w:pPr>
          </w:p>
        </w:tc>
        <w:tc>
          <w:tcPr>
            <w:tcW w:w="321" w:type="pct"/>
            <w:vAlign w:val="center"/>
          </w:tcPr>
          <w:p w14:paraId="45770956">
            <w:pPr>
              <w:jc w:val="center"/>
              <w:rPr>
                <w:rFonts w:ascii="Times New Roman" w:hAnsi="Times New Roman" w:cs="Times New Roman"/>
                <w:sz w:val="15"/>
                <w:szCs w:val="15"/>
                <w:highlight w:val="none"/>
              </w:rPr>
            </w:pPr>
          </w:p>
        </w:tc>
        <w:tc>
          <w:tcPr>
            <w:tcW w:w="321" w:type="pct"/>
            <w:vAlign w:val="center"/>
          </w:tcPr>
          <w:p w14:paraId="0DAEF477">
            <w:pPr>
              <w:jc w:val="center"/>
              <w:rPr>
                <w:rFonts w:ascii="Times New Roman" w:hAnsi="Times New Roman" w:cs="Times New Roman"/>
                <w:sz w:val="15"/>
                <w:szCs w:val="15"/>
                <w:highlight w:val="none"/>
              </w:rPr>
            </w:pPr>
          </w:p>
        </w:tc>
      </w:tr>
      <w:tr w14:paraId="6C26A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71" w:type="pct"/>
            <w:vAlign w:val="center"/>
          </w:tcPr>
          <w:p w14:paraId="025A51BC">
            <w:pPr>
              <w:jc w:val="center"/>
              <w:rPr>
                <w:rFonts w:ascii="Times New Roman" w:hAnsi="Times New Roman" w:cs="Times New Roman"/>
                <w:sz w:val="15"/>
                <w:szCs w:val="15"/>
                <w:highlight w:val="none"/>
              </w:rPr>
            </w:pPr>
          </w:p>
        </w:tc>
        <w:tc>
          <w:tcPr>
            <w:tcW w:w="190" w:type="pct"/>
            <w:vAlign w:val="center"/>
          </w:tcPr>
          <w:p w14:paraId="396F1C2E">
            <w:pPr>
              <w:jc w:val="center"/>
              <w:rPr>
                <w:rFonts w:ascii="Times New Roman" w:hAnsi="Times New Roman" w:cs="Times New Roman"/>
                <w:sz w:val="15"/>
                <w:szCs w:val="15"/>
                <w:highlight w:val="none"/>
              </w:rPr>
            </w:pPr>
          </w:p>
        </w:tc>
        <w:tc>
          <w:tcPr>
            <w:tcW w:w="203" w:type="pct"/>
            <w:vAlign w:val="center"/>
          </w:tcPr>
          <w:p w14:paraId="7FBE13EC">
            <w:pPr>
              <w:jc w:val="center"/>
              <w:rPr>
                <w:rFonts w:ascii="Times New Roman" w:hAnsi="Times New Roman" w:cs="Times New Roman"/>
                <w:sz w:val="15"/>
                <w:szCs w:val="15"/>
                <w:highlight w:val="none"/>
              </w:rPr>
            </w:pPr>
          </w:p>
        </w:tc>
        <w:tc>
          <w:tcPr>
            <w:tcW w:w="335" w:type="pct"/>
            <w:vAlign w:val="center"/>
          </w:tcPr>
          <w:p w14:paraId="5272C814">
            <w:pPr>
              <w:jc w:val="center"/>
              <w:rPr>
                <w:rFonts w:ascii="Times New Roman" w:hAnsi="Times New Roman" w:cs="Times New Roman"/>
                <w:sz w:val="15"/>
                <w:szCs w:val="15"/>
                <w:highlight w:val="none"/>
              </w:rPr>
            </w:pPr>
          </w:p>
        </w:tc>
        <w:tc>
          <w:tcPr>
            <w:tcW w:w="385" w:type="pct"/>
            <w:vAlign w:val="center"/>
          </w:tcPr>
          <w:p w14:paraId="37A12C53">
            <w:pPr>
              <w:jc w:val="center"/>
              <w:rPr>
                <w:rFonts w:ascii="Times New Roman" w:hAnsi="Times New Roman" w:cs="Times New Roman"/>
                <w:sz w:val="15"/>
                <w:szCs w:val="15"/>
                <w:highlight w:val="none"/>
              </w:rPr>
            </w:pPr>
          </w:p>
        </w:tc>
        <w:tc>
          <w:tcPr>
            <w:tcW w:w="326" w:type="pct"/>
            <w:vAlign w:val="center"/>
          </w:tcPr>
          <w:p w14:paraId="4E24FD20">
            <w:pPr>
              <w:jc w:val="center"/>
              <w:rPr>
                <w:rFonts w:ascii="Times New Roman" w:hAnsi="Times New Roman" w:cs="Times New Roman"/>
                <w:sz w:val="15"/>
                <w:szCs w:val="15"/>
                <w:highlight w:val="none"/>
              </w:rPr>
            </w:pPr>
          </w:p>
        </w:tc>
        <w:tc>
          <w:tcPr>
            <w:tcW w:w="405" w:type="pct"/>
            <w:vAlign w:val="center"/>
          </w:tcPr>
          <w:p w14:paraId="015A400C">
            <w:pPr>
              <w:jc w:val="center"/>
              <w:rPr>
                <w:rFonts w:ascii="Times New Roman" w:hAnsi="Times New Roman" w:cs="Times New Roman"/>
                <w:sz w:val="15"/>
                <w:szCs w:val="15"/>
                <w:highlight w:val="none"/>
              </w:rPr>
            </w:pPr>
          </w:p>
        </w:tc>
        <w:tc>
          <w:tcPr>
            <w:tcW w:w="321" w:type="pct"/>
            <w:vAlign w:val="center"/>
          </w:tcPr>
          <w:p w14:paraId="1D357BC1">
            <w:pPr>
              <w:jc w:val="center"/>
              <w:rPr>
                <w:rFonts w:ascii="Times New Roman" w:hAnsi="Times New Roman" w:cs="Times New Roman"/>
                <w:sz w:val="15"/>
                <w:szCs w:val="15"/>
                <w:highlight w:val="none"/>
              </w:rPr>
            </w:pPr>
          </w:p>
        </w:tc>
        <w:tc>
          <w:tcPr>
            <w:tcW w:w="405" w:type="pct"/>
            <w:vAlign w:val="center"/>
          </w:tcPr>
          <w:p w14:paraId="066060E2">
            <w:pPr>
              <w:jc w:val="center"/>
              <w:rPr>
                <w:rFonts w:ascii="Times New Roman" w:hAnsi="Times New Roman" w:cs="Times New Roman"/>
                <w:sz w:val="15"/>
                <w:szCs w:val="15"/>
                <w:highlight w:val="none"/>
              </w:rPr>
            </w:pPr>
          </w:p>
        </w:tc>
        <w:tc>
          <w:tcPr>
            <w:tcW w:w="321" w:type="pct"/>
            <w:vAlign w:val="center"/>
          </w:tcPr>
          <w:p w14:paraId="296FC5B6">
            <w:pPr>
              <w:jc w:val="center"/>
              <w:rPr>
                <w:rFonts w:ascii="Times New Roman" w:hAnsi="Times New Roman" w:cs="Times New Roman"/>
                <w:sz w:val="15"/>
                <w:szCs w:val="15"/>
                <w:highlight w:val="none"/>
              </w:rPr>
            </w:pPr>
          </w:p>
        </w:tc>
        <w:tc>
          <w:tcPr>
            <w:tcW w:w="404" w:type="pct"/>
            <w:vAlign w:val="center"/>
          </w:tcPr>
          <w:p w14:paraId="3FAB4AE2">
            <w:pPr>
              <w:jc w:val="center"/>
              <w:rPr>
                <w:rFonts w:ascii="Times New Roman" w:hAnsi="Times New Roman" w:cs="Times New Roman"/>
                <w:sz w:val="15"/>
                <w:szCs w:val="15"/>
                <w:highlight w:val="none"/>
              </w:rPr>
            </w:pPr>
          </w:p>
        </w:tc>
        <w:tc>
          <w:tcPr>
            <w:tcW w:w="373" w:type="pct"/>
            <w:vAlign w:val="center"/>
          </w:tcPr>
          <w:p w14:paraId="0DB372E9">
            <w:pPr>
              <w:jc w:val="center"/>
              <w:rPr>
                <w:rFonts w:ascii="Times New Roman" w:hAnsi="Times New Roman" w:cs="Times New Roman"/>
                <w:sz w:val="15"/>
                <w:szCs w:val="15"/>
                <w:highlight w:val="none"/>
              </w:rPr>
            </w:pPr>
          </w:p>
        </w:tc>
        <w:tc>
          <w:tcPr>
            <w:tcW w:w="188" w:type="pct"/>
            <w:vAlign w:val="center"/>
          </w:tcPr>
          <w:p w14:paraId="4C0AFA85">
            <w:pPr>
              <w:jc w:val="center"/>
              <w:rPr>
                <w:rFonts w:ascii="Times New Roman" w:hAnsi="Times New Roman" w:cs="Times New Roman"/>
                <w:sz w:val="15"/>
                <w:szCs w:val="15"/>
                <w:highlight w:val="none"/>
              </w:rPr>
            </w:pPr>
          </w:p>
        </w:tc>
        <w:tc>
          <w:tcPr>
            <w:tcW w:w="321" w:type="pct"/>
            <w:vAlign w:val="center"/>
          </w:tcPr>
          <w:p w14:paraId="1DBBE509">
            <w:pPr>
              <w:jc w:val="center"/>
              <w:rPr>
                <w:rFonts w:ascii="Times New Roman" w:hAnsi="Times New Roman" w:cs="Times New Roman"/>
                <w:sz w:val="15"/>
                <w:szCs w:val="15"/>
                <w:highlight w:val="none"/>
              </w:rPr>
            </w:pPr>
          </w:p>
        </w:tc>
        <w:tc>
          <w:tcPr>
            <w:tcW w:w="321" w:type="pct"/>
            <w:vAlign w:val="center"/>
          </w:tcPr>
          <w:p w14:paraId="43373E21">
            <w:pPr>
              <w:jc w:val="center"/>
              <w:rPr>
                <w:rFonts w:ascii="Times New Roman" w:hAnsi="Times New Roman" w:cs="Times New Roman"/>
                <w:sz w:val="15"/>
                <w:szCs w:val="15"/>
                <w:highlight w:val="none"/>
              </w:rPr>
            </w:pPr>
          </w:p>
        </w:tc>
        <w:tc>
          <w:tcPr>
            <w:tcW w:w="321" w:type="pct"/>
            <w:vAlign w:val="center"/>
          </w:tcPr>
          <w:p w14:paraId="40ED58EA">
            <w:pPr>
              <w:jc w:val="center"/>
              <w:rPr>
                <w:rFonts w:ascii="Times New Roman" w:hAnsi="Times New Roman" w:cs="Times New Roman"/>
                <w:sz w:val="15"/>
                <w:szCs w:val="15"/>
                <w:highlight w:val="none"/>
              </w:rPr>
            </w:pPr>
          </w:p>
        </w:tc>
      </w:tr>
      <w:tr w14:paraId="350EB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71" w:type="pct"/>
            <w:vAlign w:val="center"/>
          </w:tcPr>
          <w:p w14:paraId="6AC7E1D5">
            <w:pPr>
              <w:jc w:val="center"/>
              <w:rPr>
                <w:rFonts w:ascii="Times New Roman" w:hAnsi="Times New Roman" w:cs="Times New Roman"/>
                <w:sz w:val="15"/>
                <w:szCs w:val="15"/>
                <w:highlight w:val="none"/>
              </w:rPr>
            </w:pPr>
          </w:p>
        </w:tc>
        <w:tc>
          <w:tcPr>
            <w:tcW w:w="190" w:type="pct"/>
            <w:vAlign w:val="center"/>
          </w:tcPr>
          <w:p w14:paraId="59227071">
            <w:pPr>
              <w:jc w:val="center"/>
              <w:rPr>
                <w:rFonts w:ascii="Times New Roman" w:hAnsi="Times New Roman" w:cs="Times New Roman"/>
                <w:sz w:val="15"/>
                <w:szCs w:val="15"/>
                <w:highlight w:val="none"/>
              </w:rPr>
            </w:pPr>
          </w:p>
        </w:tc>
        <w:tc>
          <w:tcPr>
            <w:tcW w:w="203" w:type="pct"/>
            <w:vAlign w:val="center"/>
          </w:tcPr>
          <w:p w14:paraId="42DC99FC">
            <w:pPr>
              <w:jc w:val="center"/>
              <w:rPr>
                <w:rFonts w:ascii="Times New Roman" w:hAnsi="Times New Roman" w:cs="Times New Roman"/>
                <w:sz w:val="15"/>
                <w:szCs w:val="15"/>
                <w:highlight w:val="none"/>
              </w:rPr>
            </w:pPr>
          </w:p>
        </w:tc>
        <w:tc>
          <w:tcPr>
            <w:tcW w:w="335" w:type="pct"/>
            <w:vAlign w:val="center"/>
          </w:tcPr>
          <w:p w14:paraId="2B945C11">
            <w:pPr>
              <w:jc w:val="center"/>
              <w:rPr>
                <w:rFonts w:ascii="Times New Roman" w:hAnsi="Times New Roman" w:cs="Times New Roman"/>
                <w:sz w:val="15"/>
                <w:szCs w:val="15"/>
                <w:highlight w:val="none"/>
              </w:rPr>
            </w:pPr>
          </w:p>
        </w:tc>
        <w:tc>
          <w:tcPr>
            <w:tcW w:w="385" w:type="pct"/>
            <w:vAlign w:val="center"/>
          </w:tcPr>
          <w:p w14:paraId="38406D21">
            <w:pPr>
              <w:jc w:val="center"/>
              <w:rPr>
                <w:rFonts w:ascii="Times New Roman" w:hAnsi="Times New Roman" w:cs="Times New Roman"/>
                <w:sz w:val="15"/>
                <w:szCs w:val="15"/>
                <w:highlight w:val="none"/>
              </w:rPr>
            </w:pPr>
          </w:p>
        </w:tc>
        <w:tc>
          <w:tcPr>
            <w:tcW w:w="326" w:type="pct"/>
            <w:vAlign w:val="center"/>
          </w:tcPr>
          <w:p w14:paraId="29E76996">
            <w:pPr>
              <w:jc w:val="center"/>
              <w:rPr>
                <w:rFonts w:ascii="Times New Roman" w:hAnsi="Times New Roman" w:cs="Times New Roman"/>
                <w:sz w:val="15"/>
                <w:szCs w:val="15"/>
                <w:highlight w:val="none"/>
              </w:rPr>
            </w:pPr>
          </w:p>
        </w:tc>
        <w:tc>
          <w:tcPr>
            <w:tcW w:w="405" w:type="pct"/>
            <w:vAlign w:val="center"/>
          </w:tcPr>
          <w:p w14:paraId="60DF7463">
            <w:pPr>
              <w:jc w:val="center"/>
              <w:rPr>
                <w:rFonts w:ascii="Times New Roman" w:hAnsi="Times New Roman" w:cs="Times New Roman"/>
                <w:sz w:val="15"/>
                <w:szCs w:val="15"/>
                <w:highlight w:val="none"/>
              </w:rPr>
            </w:pPr>
          </w:p>
        </w:tc>
        <w:tc>
          <w:tcPr>
            <w:tcW w:w="321" w:type="pct"/>
            <w:vAlign w:val="center"/>
          </w:tcPr>
          <w:p w14:paraId="15C4C876">
            <w:pPr>
              <w:jc w:val="center"/>
              <w:rPr>
                <w:rFonts w:ascii="Times New Roman" w:hAnsi="Times New Roman" w:cs="Times New Roman"/>
                <w:sz w:val="15"/>
                <w:szCs w:val="15"/>
                <w:highlight w:val="none"/>
              </w:rPr>
            </w:pPr>
          </w:p>
        </w:tc>
        <w:tc>
          <w:tcPr>
            <w:tcW w:w="405" w:type="pct"/>
            <w:vAlign w:val="center"/>
          </w:tcPr>
          <w:p w14:paraId="39133C1C">
            <w:pPr>
              <w:jc w:val="center"/>
              <w:rPr>
                <w:rFonts w:ascii="Times New Roman" w:hAnsi="Times New Roman" w:cs="Times New Roman"/>
                <w:sz w:val="15"/>
                <w:szCs w:val="15"/>
                <w:highlight w:val="none"/>
              </w:rPr>
            </w:pPr>
          </w:p>
        </w:tc>
        <w:tc>
          <w:tcPr>
            <w:tcW w:w="321" w:type="pct"/>
            <w:vAlign w:val="center"/>
          </w:tcPr>
          <w:p w14:paraId="6489EDE3">
            <w:pPr>
              <w:jc w:val="center"/>
              <w:rPr>
                <w:rFonts w:ascii="Times New Roman" w:hAnsi="Times New Roman" w:cs="Times New Roman"/>
                <w:sz w:val="15"/>
                <w:szCs w:val="15"/>
                <w:highlight w:val="none"/>
              </w:rPr>
            </w:pPr>
          </w:p>
        </w:tc>
        <w:tc>
          <w:tcPr>
            <w:tcW w:w="404" w:type="pct"/>
            <w:vAlign w:val="center"/>
          </w:tcPr>
          <w:p w14:paraId="04BA0B20">
            <w:pPr>
              <w:jc w:val="center"/>
              <w:rPr>
                <w:rFonts w:ascii="Times New Roman" w:hAnsi="Times New Roman" w:cs="Times New Roman"/>
                <w:sz w:val="15"/>
                <w:szCs w:val="15"/>
                <w:highlight w:val="none"/>
              </w:rPr>
            </w:pPr>
          </w:p>
        </w:tc>
        <w:tc>
          <w:tcPr>
            <w:tcW w:w="373" w:type="pct"/>
            <w:vAlign w:val="center"/>
          </w:tcPr>
          <w:p w14:paraId="507E338E">
            <w:pPr>
              <w:jc w:val="center"/>
              <w:rPr>
                <w:rFonts w:ascii="Times New Roman" w:hAnsi="Times New Roman" w:cs="Times New Roman"/>
                <w:sz w:val="15"/>
                <w:szCs w:val="15"/>
                <w:highlight w:val="none"/>
              </w:rPr>
            </w:pPr>
          </w:p>
        </w:tc>
        <w:tc>
          <w:tcPr>
            <w:tcW w:w="188" w:type="pct"/>
            <w:vAlign w:val="center"/>
          </w:tcPr>
          <w:p w14:paraId="4A3A8BFD">
            <w:pPr>
              <w:jc w:val="center"/>
              <w:rPr>
                <w:rFonts w:ascii="Times New Roman" w:hAnsi="Times New Roman" w:cs="Times New Roman"/>
                <w:sz w:val="15"/>
                <w:szCs w:val="15"/>
                <w:highlight w:val="none"/>
              </w:rPr>
            </w:pPr>
          </w:p>
        </w:tc>
        <w:tc>
          <w:tcPr>
            <w:tcW w:w="321" w:type="pct"/>
            <w:vAlign w:val="center"/>
          </w:tcPr>
          <w:p w14:paraId="6AF28456">
            <w:pPr>
              <w:jc w:val="center"/>
              <w:rPr>
                <w:rFonts w:ascii="Times New Roman" w:hAnsi="Times New Roman" w:cs="Times New Roman"/>
                <w:sz w:val="15"/>
                <w:szCs w:val="15"/>
                <w:highlight w:val="none"/>
              </w:rPr>
            </w:pPr>
          </w:p>
        </w:tc>
        <w:tc>
          <w:tcPr>
            <w:tcW w:w="321" w:type="pct"/>
            <w:vAlign w:val="center"/>
          </w:tcPr>
          <w:p w14:paraId="3F1C2096">
            <w:pPr>
              <w:jc w:val="center"/>
              <w:rPr>
                <w:rFonts w:ascii="Times New Roman" w:hAnsi="Times New Roman" w:cs="Times New Roman"/>
                <w:sz w:val="15"/>
                <w:szCs w:val="15"/>
                <w:highlight w:val="none"/>
              </w:rPr>
            </w:pPr>
          </w:p>
        </w:tc>
        <w:tc>
          <w:tcPr>
            <w:tcW w:w="321" w:type="pct"/>
            <w:vAlign w:val="center"/>
          </w:tcPr>
          <w:p w14:paraId="53705145">
            <w:pPr>
              <w:jc w:val="center"/>
              <w:rPr>
                <w:rFonts w:ascii="Times New Roman" w:hAnsi="Times New Roman" w:cs="Times New Roman"/>
                <w:sz w:val="15"/>
                <w:szCs w:val="15"/>
                <w:highlight w:val="none"/>
              </w:rPr>
            </w:pPr>
          </w:p>
        </w:tc>
      </w:tr>
      <w:tr w14:paraId="0F539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71" w:type="pct"/>
            <w:vAlign w:val="center"/>
          </w:tcPr>
          <w:p w14:paraId="7D1F9EA7">
            <w:pPr>
              <w:jc w:val="center"/>
              <w:rPr>
                <w:rFonts w:ascii="Times New Roman" w:hAnsi="Times New Roman" w:cs="Times New Roman"/>
                <w:sz w:val="15"/>
                <w:szCs w:val="15"/>
                <w:highlight w:val="none"/>
              </w:rPr>
            </w:pPr>
          </w:p>
        </w:tc>
        <w:tc>
          <w:tcPr>
            <w:tcW w:w="190" w:type="pct"/>
            <w:vAlign w:val="center"/>
          </w:tcPr>
          <w:p w14:paraId="2607D450">
            <w:pPr>
              <w:jc w:val="center"/>
              <w:rPr>
                <w:rFonts w:ascii="Times New Roman" w:hAnsi="Times New Roman" w:cs="Times New Roman"/>
                <w:sz w:val="15"/>
                <w:szCs w:val="15"/>
                <w:highlight w:val="none"/>
              </w:rPr>
            </w:pPr>
          </w:p>
        </w:tc>
        <w:tc>
          <w:tcPr>
            <w:tcW w:w="203" w:type="pct"/>
            <w:vAlign w:val="center"/>
          </w:tcPr>
          <w:p w14:paraId="5E36C0E7">
            <w:pPr>
              <w:jc w:val="center"/>
              <w:rPr>
                <w:rFonts w:ascii="Times New Roman" w:hAnsi="Times New Roman" w:cs="Times New Roman"/>
                <w:sz w:val="15"/>
                <w:szCs w:val="15"/>
                <w:highlight w:val="none"/>
              </w:rPr>
            </w:pPr>
          </w:p>
        </w:tc>
        <w:tc>
          <w:tcPr>
            <w:tcW w:w="335" w:type="pct"/>
            <w:vAlign w:val="center"/>
          </w:tcPr>
          <w:p w14:paraId="29674E9C">
            <w:pPr>
              <w:jc w:val="center"/>
              <w:rPr>
                <w:rFonts w:ascii="Times New Roman" w:hAnsi="Times New Roman" w:cs="Times New Roman"/>
                <w:sz w:val="15"/>
                <w:szCs w:val="15"/>
                <w:highlight w:val="none"/>
              </w:rPr>
            </w:pPr>
          </w:p>
        </w:tc>
        <w:tc>
          <w:tcPr>
            <w:tcW w:w="385" w:type="pct"/>
            <w:vAlign w:val="center"/>
          </w:tcPr>
          <w:p w14:paraId="6751F79A">
            <w:pPr>
              <w:jc w:val="center"/>
              <w:rPr>
                <w:rFonts w:ascii="Times New Roman" w:hAnsi="Times New Roman" w:cs="Times New Roman"/>
                <w:sz w:val="15"/>
                <w:szCs w:val="15"/>
                <w:highlight w:val="none"/>
              </w:rPr>
            </w:pPr>
          </w:p>
        </w:tc>
        <w:tc>
          <w:tcPr>
            <w:tcW w:w="326" w:type="pct"/>
            <w:vAlign w:val="center"/>
          </w:tcPr>
          <w:p w14:paraId="50F2B815">
            <w:pPr>
              <w:jc w:val="center"/>
              <w:rPr>
                <w:rFonts w:ascii="Times New Roman" w:hAnsi="Times New Roman" w:cs="Times New Roman"/>
                <w:sz w:val="15"/>
                <w:szCs w:val="15"/>
                <w:highlight w:val="none"/>
              </w:rPr>
            </w:pPr>
          </w:p>
        </w:tc>
        <w:tc>
          <w:tcPr>
            <w:tcW w:w="405" w:type="pct"/>
            <w:vAlign w:val="center"/>
          </w:tcPr>
          <w:p w14:paraId="4C5EA92E">
            <w:pPr>
              <w:jc w:val="center"/>
              <w:rPr>
                <w:rFonts w:ascii="Times New Roman" w:hAnsi="Times New Roman" w:cs="Times New Roman"/>
                <w:sz w:val="15"/>
                <w:szCs w:val="15"/>
                <w:highlight w:val="none"/>
              </w:rPr>
            </w:pPr>
          </w:p>
        </w:tc>
        <w:tc>
          <w:tcPr>
            <w:tcW w:w="321" w:type="pct"/>
            <w:vAlign w:val="center"/>
          </w:tcPr>
          <w:p w14:paraId="0949B486">
            <w:pPr>
              <w:jc w:val="center"/>
              <w:rPr>
                <w:rFonts w:ascii="Times New Roman" w:hAnsi="Times New Roman" w:cs="Times New Roman"/>
                <w:sz w:val="15"/>
                <w:szCs w:val="15"/>
                <w:highlight w:val="none"/>
              </w:rPr>
            </w:pPr>
          </w:p>
        </w:tc>
        <w:tc>
          <w:tcPr>
            <w:tcW w:w="405" w:type="pct"/>
            <w:vAlign w:val="center"/>
          </w:tcPr>
          <w:p w14:paraId="36130F16">
            <w:pPr>
              <w:jc w:val="center"/>
              <w:rPr>
                <w:rFonts w:ascii="Times New Roman" w:hAnsi="Times New Roman" w:cs="Times New Roman"/>
                <w:sz w:val="15"/>
                <w:szCs w:val="15"/>
                <w:highlight w:val="none"/>
              </w:rPr>
            </w:pPr>
          </w:p>
        </w:tc>
        <w:tc>
          <w:tcPr>
            <w:tcW w:w="321" w:type="pct"/>
            <w:vAlign w:val="center"/>
          </w:tcPr>
          <w:p w14:paraId="62ABDAB3">
            <w:pPr>
              <w:jc w:val="center"/>
              <w:rPr>
                <w:rFonts w:ascii="Times New Roman" w:hAnsi="Times New Roman" w:cs="Times New Roman"/>
                <w:sz w:val="15"/>
                <w:szCs w:val="15"/>
                <w:highlight w:val="none"/>
              </w:rPr>
            </w:pPr>
          </w:p>
        </w:tc>
        <w:tc>
          <w:tcPr>
            <w:tcW w:w="404" w:type="pct"/>
            <w:vAlign w:val="center"/>
          </w:tcPr>
          <w:p w14:paraId="6B50C0FB">
            <w:pPr>
              <w:jc w:val="center"/>
              <w:rPr>
                <w:rFonts w:ascii="Times New Roman" w:hAnsi="Times New Roman" w:cs="Times New Roman"/>
                <w:sz w:val="15"/>
                <w:szCs w:val="15"/>
                <w:highlight w:val="none"/>
              </w:rPr>
            </w:pPr>
          </w:p>
        </w:tc>
        <w:tc>
          <w:tcPr>
            <w:tcW w:w="373" w:type="pct"/>
            <w:vAlign w:val="center"/>
          </w:tcPr>
          <w:p w14:paraId="768BC470">
            <w:pPr>
              <w:jc w:val="center"/>
              <w:rPr>
                <w:rFonts w:ascii="Times New Roman" w:hAnsi="Times New Roman" w:cs="Times New Roman"/>
                <w:sz w:val="15"/>
                <w:szCs w:val="15"/>
                <w:highlight w:val="none"/>
              </w:rPr>
            </w:pPr>
          </w:p>
        </w:tc>
        <w:tc>
          <w:tcPr>
            <w:tcW w:w="188" w:type="pct"/>
            <w:vAlign w:val="center"/>
          </w:tcPr>
          <w:p w14:paraId="1F972422">
            <w:pPr>
              <w:jc w:val="center"/>
              <w:rPr>
                <w:rFonts w:ascii="Times New Roman" w:hAnsi="Times New Roman" w:cs="Times New Roman"/>
                <w:sz w:val="15"/>
                <w:szCs w:val="15"/>
                <w:highlight w:val="none"/>
              </w:rPr>
            </w:pPr>
          </w:p>
        </w:tc>
        <w:tc>
          <w:tcPr>
            <w:tcW w:w="321" w:type="pct"/>
            <w:vAlign w:val="center"/>
          </w:tcPr>
          <w:p w14:paraId="0823E4BE">
            <w:pPr>
              <w:jc w:val="center"/>
              <w:rPr>
                <w:rFonts w:ascii="Times New Roman" w:hAnsi="Times New Roman" w:cs="Times New Roman"/>
                <w:sz w:val="15"/>
                <w:szCs w:val="15"/>
                <w:highlight w:val="none"/>
              </w:rPr>
            </w:pPr>
          </w:p>
        </w:tc>
        <w:tc>
          <w:tcPr>
            <w:tcW w:w="321" w:type="pct"/>
            <w:vAlign w:val="center"/>
          </w:tcPr>
          <w:p w14:paraId="030407A1">
            <w:pPr>
              <w:jc w:val="center"/>
              <w:rPr>
                <w:rFonts w:ascii="Times New Roman" w:hAnsi="Times New Roman" w:cs="Times New Roman"/>
                <w:sz w:val="15"/>
                <w:szCs w:val="15"/>
                <w:highlight w:val="none"/>
              </w:rPr>
            </w:pPr>
          </w:p>
        </w:tc>
        <w:tc>
          <w:tcPr>
            <w:tcW w:w="321" w:type="pct"/>
            <w:vAlign w:val="center"/>
          </w:tcPr>
          <w:p w14:paraId="2986DE3A">
            <w:pPr>
              <w:jc w:val="center"/>
              <w:rPr>
                <w:rFonts w:ascii="Times New Roman" w:hAnsi="Times New Roman" w:cs="Times New Roman"/>
                <w:sz w:val="15"/>
                <w:szCs w:val="15"/>
                <w:highlight w:val="none"/>
              </w:rPr>
            </w:pPr>
          </w:p>
        </w:tc>
      </w:tr>
      <w:tr w14:paraId="36697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71" w:type="pct"/>
            <w:vAlign w:val="center"/>
          </w:tcPr>
          <w:p w14:paraId="448636E5">
            <w:pPr>
              <w:jc w:val="center"/>
              <w:rPr>
                <w:rFonts w:ascii="Times New Roman" w:hAnsi="Times New Roman" w:cs="Times New Roman"/>
                <w:sz w:val="15"/>
                <w:szCs w:val="15"/>
                <w:highlight w:val="none"/>
              </w:rPr>
            </w:pPr>
          </w:p>
        </w:tc>
        <w:tc>
          <w:tcPr>
            <w:tcW w:w="190" w:type="pct"/>
            <w:vAlign w:val="center"/>
          </w:tcPr>
          <w:p w14:paraId="401AD9E1">
            <w:pPr>
              <w:jc w:val="center"/>
              <w:rPr>
                <w:rFonts w:ascii="Times New Roman" w:hAnsi="Times New Roman" w:cs="Times New Roman"/>
                <w:sz w:val="15"/>
                <w:szCs w:val="15"/>
                <w:highlight w:val="none"/>
              </w:rPr>
            </w:pPr>
          </w:p>
        </w:tc>
        <w:tc>
          <w:tcPr>
            <w:tcW w:w="203" w:type="pct"/>
            <w:vAlign w:val="center"/>
          </w:tcPr>
          <w:p w14:paraId="2F12C188">
            <w:pPr>
              <w:jc w:val="center"/>
              <w:rPr>
                <w:rFonts w:ascii="Times New Roman" w:hAnsi="Times New Roman" w:cs="Times New Roman"/>
                <w:sz w:val="15"/>
                <w:szCs w:val="15"/>
                <w:highlight w:val="none"/>
              </w:rPr>
            </w:pPr>
          </w:p>
        </w:tc>
        <w:tc>
          <w:tcPr>
            <w:tcW w:w="335" w:type="pct"/>
            <w:vAlign w:val="center"/>
          </w:tcPr>
          <w:p w14:paraId="2476912B">
            <w:pPr>
              <w:jc w:val="center"/>
              <w:rPr>
                <w:rFonts w:ascii="Times New Roman" w:hAnsi="Times New Roman" w:cs="Times New Roman"/>
                <w:sz w:val="15"/>
                <w:szCs w:val="15"/>
                <w:highlight w:val="none"/>
              </w:rPr>
            </w:pPr>
          </w:p>
        </w:tc>
        <w:tc>
          <w:tcPr>
            <w:tcW w:w="385" w:type="pct"/>
            <w:vAlign w:val="center"/>
          </w:tcPr>
          <w:p w14:paraId="6CE0CEF5">
            <w:pPr>
              <w:jc w:val="center"/>
              <w:rPr>
                <w:rFonts w:ascii="Times New Roman" w:hAnsi="Times New Roman" w:cs="Times New Roman"/>
                <w:sz w:val="15"/>
                <w:szCs w:val="15"/>
                <w:highlight w:val="none"/>
              </w:rPr>
            </w:pPr>
          </w:p>
        </w:tc>
        <w:tc>
          <w:tcPr>
            <w:tcW w:w="326" w:type="pct"/>
            <w:vAlign w:val="center"/>
          </w:tcPr>
          <w:p w14:paraId="0BB9D4FF">
            <w:pPr>
              <w:jc w:val="center"/>
              <w:rPr>
                <w:rFonts w:ascii="Times New Roman" w:hAnsi="Times New Roman" w:cs="Times New Roman"/>
                <w:sz w:val="15"/>
                <w:szCs w:val="15"/>
                <w:highlight w:val="none"/>
              </w:rPr>
            </w:pPr>
          </w:p>
        </w:tc>
        <w:tc>
          <w:tcPr>
            <w:tcW w:w="405" w:type="pct"/>
            <w:vAlign w:val="center"/>
          </w:tcPr>
          <w:p w14:paraId="3E762723">
            <w:pPr>
              <w:jc w:val="center"/>
              <w:rPr>
                <w:rFonts w:ascii="Times New Roman" w:hAnsi="Times New Roman" w:cs="Times New Roman"/>
                <w:sz w:val="15"/>
                <w:szCs w:val="15"/>
                <w:highlight w:val="none"/>
              </w:rPr>
            </w:pPr>
          </w:p>
        </w:tc>
        <w:tc>
          <w:tcPr>
            <w:tcW w:w="321" w:type="pct"/>
            <w:vAlign w:val="center"/>
          </w:tcPr>
          <w:p w14:paraId="2203DDC3">
            <w:pPr>
              <w:jc w:val="center"/>
              <w:rPr>
                <w:rFonts w:ascii="Times New Roman" w:hAnsi="Times New Roman" w:cs="Times New Roman"/>
                <w:sz w:val="15"/>
                <w:szCs w:val="15"/>
                <w:highlight w:val="none"/>
              </w:rPr>
            </w:pPr>
          </w:p>
        </w:tc>
        <w:tc>
          <w:tcPr>
            <w:tcW w:w="405" w:type="pct"/>
            <w:vAlign w:val="center"/>
          </w:tcPr>
          <w:p w14:paraId="59307593">
            <w:pPr>
              <w:jc w:val="center"/>
              <w:rPr>
                <w:rFonts w:ascii="Times New Roman" w:hAnsi="Times New Roman" w:cs="Times New Roman"/>
                <w:sz w:val="15"/>
                <w:szCs w:val="15"/>
                <w:highlight w:val="none"/>
              </w:rPr>
            </w:pPr>
          </w:p>
        </w:tc>
        <w:tc>
          <w:tcPr>
            <w:tcW w:w="321" w:type="pct"/>
            <w:vAlign w:val="center"/>
          </w:tcPr>
          <w:p w14:paraId="1F7C3A92">
            <w:pPr>
              <w:jc w:val="center"/>
              <w:rPr>
                <w:rFonts w:ascii="Times New Roman" w:hAnsi="Times New Roman" w:cs="Times New Roman"/>
                <w:sz w:val="15"/>
                <w:szCs w:val="15"/>
                <w:highlight w:val="none"/>
              </w:rPr>
            </w:pPr>
          </w:p>
        </w:tc>
        <w:tc>
          <w:tcPr>
            <w:tcW w:w="404" w:type="pct"/>
            <w:vAlign w:val="center"/>
          </w:tcPr>
          <w:p w14:paraId="1D1346A9">
            <w:pPr>
              <w:jc w:val="center"/>
              <w:rPr>
                <w:rFonts w:ascii="Times New Roman" w:hAnsi="Times New Roman" w:cs="Times New Roman"/>
                <w:sz w:val="15"/>
                <w:szCs w:val="15"/>
                <w:highlight w:val="none"/>
              </w:rPr>
            </w:pPr>
          </w:p>
        </w:tc>
        <w:tc>
          <w:tcPr>
            <w:tcW w:w="373" w:type="pct"/>
            <w:vAlign w:val="center"/>
          </w:tcPr>
          <w:p w14:paraId="40F88699">
            <w:pPr>
              <w:jc w:val="center"/>
              <w:rPr>
                <w:rFonts w:ascii="Times New Roman" w:hAnsi="Times New Roman" w:cs="Times New Roman"/>
                <w:sz w:val="15"/>
                <w:szCs w:val="15"/>
                <w:highlight w:val="none"/>
              </w:rPr>
            </w:pPr>
          </w:p>
        </w:tc>
        <w:tc>
          <w:tcPr>
            <w:tcW w:w="188" w:type="pct"/>
            <w:vAlign w:val="center"/>
          </w:tcPr>
          <w:p w14:paraId="11EDB856">
            <w:pPr>
              <w:jc w:val="center"/>
              <w:rPr>
                <w:rFonts w:ascii="Times New Roman" w:hAnsi="Times New Roman" w:cs="Times New Roman"/>
                <w:sz w:val="15"/>
                <w:szCs w:val="15"/>
                <w:highlight w:val="none"/>
              </w:rPr>
            </w:pPr>
          </w:p>
        </w:tc>
        <w:tc>
          <w:tcPr>
            <w:tcW w:w="321" w:type="pct"/>
            <w:vAlign w:val="center"/>
          </w:tcPr>
          <w:p w14:paraId="57F51B2A">
            <w:pPr>
              <w:jc w:val="center"/>
              <w:rPr>
                <w:rFonts w:ascii="Times New Roman" w:hAnsi="Times New Roman" w:cs="Times New Roman"/>
                <w:sz w:val="15"/>
                <w:szCs w:val="15"/>
                <w:highlight w:val="none"/>
              </w:rPr>
            </w:pPr>
          </w:p>
        </w:tc>
        <w:tc>
          <w:tcPr>
            <w:tcW w:w="321" w:type="pct"/>
            <w:vAlign w:val="center"/>
          </w:tcPr>
          <w:p w14:paraId="0D2EC3F2">
            <w:pPr>
              <w:jc w:val="center"/>
              <w:rPr>
                <w:rFonts w:ascii="Times New Roman" w:hAnsi="Times New Roman" w:cs="Times New Roman"/>
                <w:sz w:val="15"/>
                <w:szCs w:val="15"/>
                <w:highlight w:val="none"/>
              </w:rPr>
            </w:pPr>
          </w:p>
        </w:tc>
        <w:tc>
          <w:tcPr>
            <w:tcW w:w="321" w:type="pct"/>
            <w:vAlign w:val="center"/>
          </w:tcPr>
          <w:p w14:paraId="0EEEE7B6">
            <w:pPr>
              <w:jc w:val="center"/>
              <w:rPr>
                <w:rFonts w:ascii="Times New Roman" w:hAnsi="Times New Roman" w:cs="Times New Roman"/>
                <w:sz w:val="15"/>
                <w:szCs w:val="15"/>
                <w:highlight w:val="none"/>
              </w:rPr>
            </w:pPr>
          </w:p>
        </w:tc>
      </w:tr>
      <w:tr w14:paraId="09FBA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71" w:type="pct"/>
            <w:vAlign w:val="center"/>
          </w:tcPr>
          <w:p w14:paraId="4E5F355B">
            <w:pPr>
              <w:jc w:val="center"/>
              <w:rPr>
                <w:rFonts w:ascii="Times New Roman" w:hAnsi="Times New Roman" w:cs="Times New Roman"/>
                <w:sz w:val="15"/>
                <w:szCs w:val="15"/>
                <w:highlight w:val="none"/>
              </w:rPr>
            </w:pPr>
          </w:p>
        </w:tc>
        <w:tc>
          <w:tcPr>
            <w:tcW w:w="190" w:type="pct"/>
            <w:vAlign w:val="center"/>
          </w:tcPr>
          <w:p w14:paraId="50D5D453">
            <w:pPr>
              <w:jc w:val="center"/>
              <w:rPr>
                <w:rFonts w:ascii="Times New Roman" w:hAnsi="Times New Roman" w:cs="Times New Roman"/>
                <w:sz w:val="15"/>
                <w:szCs w:val="15"/>
                <w:highlight w:val="none"/>
              </w:rPr>
            </w:pPr>
          </w:p>
        </w:tc>
        <w:tc>
          <w:tcPr>
            <w:tcW w:w="203" w:type="pct"/>
            <w:vAlign w:val="center"/>
          </w:tcPr>
          <w:p w14:paraId="3D4909A8">
            <w:pPr>
              <w:jc w:val="center"/>
              <w:rPr>
                <w:rFonts w:ascii="Times New Roman" w:hAnsi="Times New Roman" w:cs="Times New Roman"/>
                <w:sz w:val="15"/>
                <w:szCs w:val="15"/>
                <w:highlight w:val="none"/>
              </w:rPr>
            </w:pPr>
          </w:p>
        </w:tc>
        <w:tc>
          <w:tcPr>
            <w:tcW w:w="335" w:type="pct"/>
            <w:vAlign w:val="center"/>
          </w:tcPr>
          <w:p w14:paraId="503F97CB">
            <w:pPr>
              <w:jc w:val="center"/>
              <w:rPr>
                <w:rFonts w:ascii="Times New Roman" w:hAnsi="Times New Roman" w:cs="Times New Roman"/>
                <w:sz w:val="15"/>
                <w:szCs w:val="15"/>
                <w:highlight w:val="none"/>
              </w:rPr>
            </w:pPr>
          </w:p>
        </w:tc>
        <w:tc>
          <w:tcPr>
            <w:tcW w:w="385" w:type="pct"/>
            <w:vAlign w:val="center"/>
          </w:tcPr>
          <w:p w14:paraId="07913A98">
            <w:pPr>
              <w:jc w:val="center"/>
              <w:rPr>
                <w:rFonts w:ascii="Times New Roman" w:hAnsi="Times New Roman" w:cs="Times New Roman"/>
                <w:sz w:val="15"/>
                <w:szCs w:val="15"/>
                <w:highlight w:val="none"/>
              </w:rPr>
            </w:pPr>
          </w:p>
        </w:tc>
        <w:tc>
          <w:tcPr>
            <w:tcW w:w="326" w:type="pct"/>
            <w:vAlign w:val="center"/>
          </w:tcPr>
          <w:p w14:paraId="00BF8C62">
            <w:pPr>
              <w:jc w:val="center"/>
              <w:rPr>
                <w:rFonts w:ascii="Times New Roman" w:hAnsi="Times New Roman" w:cs="Times New Roman"/>
                <w:sz w:val="15"/>
                <w:szCs w:val="15"/>
                <w:highlight w:val="none"/>
              </w:rPr>
            </w:pPr>
          </w:p>
        </w:tc>
        <w:tc>
          <w:tcPr>
            <w:tcW w:w="405" w:type="pct"/>
            <w:vAlign w:val="center"/>
          </w:tcPr>
          <w:p w14:paraId="4A10A7F7">
            <w:pPr>
              <w:jc w:val="center"/>
              <w:rPr>
                <w:rFonts w:ascii="Times New Roman" w:hAnsi="Times New Roman" w:cs="Times New Roman"/>
                <w:sz w:val="15"/>
                <w:szCs w:val="15"/>
                <w:highlight w:val="none"/>
              </w:rPr>
            </w:pPr>
          </w:p>
        </w:tc>
        <w:tc>
          <w:tcPr>
            <w:tcW w:w="321" w:type="pct"/>
            <w:vAlign w:val="center"/>
          </w:tcPr>
          <w:p w14:paraId="19BB65FA">
            <w:pPr>
              <w:jc w:val="center"/>
              <w:rPr>
                <w:rFonts w:ascii="Times New Roman" w:hAnsi="Times New Roman" w:cs="Times New Roman"/>
                <w:sz w:val="15"/>
                <w:szCs w:val="15"/>
                <w:highlight w:val="none"/>
              </w:rPr>
            </w:pPr>
          </w:p>
        </w:tc>
        <w:tc>
          <w:tcPr>
            <w:tcW w:w="405" w:type="pct"/>
            <w:vAlign w:val="center"/>
          </w:tcPr>
          <w:p w14:paraId="73BF7FA9">
            <w:pPr>
              <w:jc w:val="center"/>
              <w:rPr>
                <w:rFonts w:ascii="Times New Roman" w:hAnsi="Times New Roman" w:cs="Times New Roman"/>
                <w:sz w:val="15"/>
                <w:szCs w:val="15"/>
                <w:highlight w:val="none"/>
              </w:rPr>
            </w:pPr>
          </w:p>
        </w:tc>
        <w:tc>
          <w:tcPr>
            <w:tcW w:w="321" w:type="pct"/>
            <w:vAlign w:val="center"/>
          </w:tcPr>
          <w:p w14:paraId="23D50636">
            <w:pPr>
              <w:jc w:val="center"/>
              <w:rPr>
                <w:rFonts w:ascii="Times New Roman" w:hAnsi="Times New Roman" w:cs="Times New Roman"/>
                <w:sz w:val="15"/>
                <w:szCs w:val="15"/>
                <w:highlight w:val="none"/>
              </w:rPr>
            </w:pPr>
          </w:p>
        </w:tc>
        <w:tc>
          <w:tcPr>
            <w:tcW w:w="404" w:type="pct"/>
            <w:vAlign w:val="center"/>
          </w:tcPr>
          <w:p w14:paraId="1FA136C1">
            <w:pPr>
              <w:jc w:val="center"/>
              <w:rPr>
                <w:rFonts w:ascii="Times New Roman" w:hAnsi="Times New Roman" w:cs="Times New Roman"/>
                <w:sz w:val="15"/>
                <w:szCs w:val="15"/>
                <w:highlight w:val="none"/>
              </w:rPr>
            </w:pPr>
          </w:p>
        </w:tc>
        <w:tc>
          <w:tcPr>
            <w:tcW w:w="373" w:type="pct"/>
            <w:vAlign w:val="center"/>
          </w:tcPr>
          <w:p w14:paraId="1BE26BB8">
            <w:pPr>
              <w:jc w:val="center"/>
              <w:rPr>
                <w:rFonts w:ascii="Times New Roman" w:hAnsi="Times New Roman" w:cs="Times New Roman"/>
                <w:sz w:val="15"/>
                <w:szCs w:val="15"/>
                <w:highlight w:val="none"/>
              </w:rPr>
            </w:pPr>
          </w:p>
        </w:tc>
        <w:tc>
          <w:tcPr>
            <w:tcW w:w="188" w:type="pct"/>
            <w:vAlign w:val="center"/>
          </w:tcPr>
          <w:p w14:paraId="07BB8947">
            <w:pPr>
              <w:jc w:val="center"/>
              <w:rPr>
                <w:rFonts w:ascii="Times New Roman" w:hAnsi="Times New Roman" w:cs="Times New Roman"/>
                <w:sz w:val="15"/>
                <w:szCs w:val="15"/>
                <w:highlight w:val="none"/>
              </w:rPr>
            </w:pPr>
          </w:p>
        </w:tc>
        <w:tc>
          <w:tcPr>
            <w:tcW w:w="321" w:type="pct"/>
            <w:vAlign w:val="center"/>
          </w:tcPr>
          <w:p w14:paraId="4B61E50C">
            <w:pPr>
              <w:jc w:val="center"/>
              <w:rPr>
                <w:rFonts w:ascii="Times New Roman" w:hAnsi="Times New Roman" w:cs="Times New Roman"/>
                <w:sz w:val="15"/>
                <w:szCs w:val="15"/>
                <w:highlight w:val="none"/>
              </w:rPr>
            </w:pPr>
          </w:p>
        </w:tc>
        <w:tc>
          <w:tcPr>
            <w:tcW w:w="321" w:type="pct"/>
            <w:vAlign w:val="center"/>
          </w:tcPr>
          <w:p w14:paraId="05A5B1FC">
            <w:pPr>
              <w:jc w:val="center"/>
              <w:rPr>
                <w:rFonts w:ascii="Times New Roman" w:hAnsi="Times New Roman" w:cs="Times New Roman"/>
                <w:sz w:val="15"/>
                <w:szCs w:val="15"/>
                <w:highlight w:val="none"/>
              </w:rPr>
            </w:pPr>
          </w:p>
        </w:tc>
        <w:tc>
          <w:tcPr>
            <w:tcW w:w="321" w:type="pct"/>
            <w:vAlign w:val="center"/>
          </w:tcPr>
          <w:p w14:paraId="6ECC8D42">
            <w:pPr>
              <w:jc w:val="center"/>
              <w:rPr>
                <w:rFonts w:ascii="Times New Roman" w:hAnsi="Times New Roman" w:cs="Times New Roman"/>
                <w:sz w:val="15"/>
                <w:szCs w:val="15"/>
                <w:highlight w:val="none"/>
              </w:rPr>
            </w:pPr>
          </w:p>
        </w:tc>
      </w:tr>
    </w:tbl>
    <w:p w14:paraId="3725B3C5">
      <w:pPr>
        <w:rPr>
          <w:rFonts w:ascii="Times New Roman" w:hAnsi="Times New Roman"/>
          <w:highlight w:val="none"/>
        </w:rPr>
        <w:sectPr>
          <w:pgSz w:w="11509" w:h="7937" w:orient="landscape"/>
          <w:pgMar w:top="1418" w:right="1134" w:bottom="1418" w:left="1134" w:header="567" w:footer="851" w:gutter="0"/>
          <w:pgBorders>
            <w:top w:val="none" w:sz="0" w:space="0"/>
            <w:left w:val="none" w:sz="0" w:space="0"/>
            <w:bottom w:val="none" w:sz="0" w:space="0"/>
            <w:right w:val="none" w:sz="0" w:space="0"/>
          </w:pgBorders>
          <w:cols w:space="425" w:num="1"/>
          <w:docGrid w:type="linesAndChars" w:linePitch="312" w:charSpace="0"/>
        </w:sectPr>
      </w:pPr>
    </w:p>
    <w:bookmarkEnd w:id="183"/>
    <w:bookmarkEnd w:id="184"/>
    <w:p w14:paraId="054A5789">
      <w:pPr>
        <w:pStyle w:val="2"/>
        <w:spacing w:before="156" w:after="156"/>
        <w:rPr>
          <w:highlight w:val="none"/>
        </w:rPr>
      </w:pPr>
      <w:bookmarkStart w:id="185" w:name="_Toc19469"/>
      <w:bookmarkStart w:id="186" w:name="_Toc26111"/>
      <w:bookmarkStart w:id="187" w:name="_Toc6374"/>
      <w:r>
        <w:rPr>
          <w:rFonts w:hint="eastAsia"/>
          <w:highlight w:val="none"/>
        </w:rPr>
        <w:t>引用标准、规范名录</w:t>
      </w:r>
      <w:bookmarkEnd w:id="185"/>
      <w:bookmarkEnd w:id="186"/>
      <w:bookmarkEnd w:id="187"/>
    </w:p>
    <w:p w14:paraId="25751162">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rPr>
        <w:t>1 《建筑地基基础设计规范》GB 50007</w:t>
      </w:r>
    </w:p>
    <w:p w14:paraId="064C3B41">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 xml:space="preserve">2 </w:t>
      </w:r>
      <w:r>
        <w:rPr>
          <w:rFonts w:hint="eastAsia" w:ascii="Times New Roman" w:hAnsi="Times New Roman" w:eastAsiaTheme="minorEastAsia"/>
          <w:szCs w:val="21"/>
          <w:highlight w:val="none"/>
        </w:rPr>
        <w:t>《混凝土结构设计标准》GB/T50010</w:t>
      </w:r>
    </w:p>
    <w:p w14:paraId="4D8258D1">
      <w:pPr>
        <w:spacing w:line="312" w:lineRule="exact"/>
        <w:ind w:firstLine="420" w:firstLineChars="200"/>
        <w:rPr>
          <w:rFonts w:hint="eastAsia" w:ascii="Times New Roman" w:hAnsi="Times New Roman" w:eastAsiaTheme="minorEastAsia"/>
          <w:szCs w:val="21"/>
          <w:highlight w:val="none"/>
          <w:lang w:eastAsia="zh-CN"/>
        </w:rPr>
      </w:pPr>
      <w:r>
        <w:rPr>
          <w:rFonts w:hint="eastAsia" w:ascii="Times New Roman" w:hAnsi="Times New Roman" w:eastAsiaTheme="minorEastAsia"/>
          <w:szCs w:val="21"/>
          <w:highlight w:val="none"/>
        </w:rPr>
        <w:t>3 《</w:t>
      </w:r>
      <w:r>
        <w:rPr>
          <w:rFonts w:hint="eastAsia" w:ascii="Times New Roman" w:hAnsi="Times New Roman" w:eastAsiaTheme="minorEastAsia"/>
          <w:szCs w:val="21"/>
          <w:highlight w:val="none"/>
          <w:lang w:eastAsia="zh-CN"/>
        </w:rPr>
        <w:t>建筑抗震设计标准</w:t>
      </w:r>
      <w:r>
        <w:rPr>
          <w:rFonts w:hint="eastAsia" w:ascii="Times New Roman" w:hAnsi="Times New Roman" w:eastAsiaTheme="minorEastAsia"/>
          <w:szCs w:val="21"/>
          <w:highlight w:val="none"/>
        </w:rPr>
        <w:t>》</w:t>
      </w:r>
      <w:r>
        <w:rPr>
          <w:rFonts w:hint="eastAsia" w:ascii="Times New Roman" w:hAnsi="Times New Roman" w:eastAsiaTheme="minorEastAsia"/>
          <w:szCs w:val="21"/>
          <w:highlight w:val="none"/>
          <w:lang w:eastAsia="zh-CN"/>
        </w:rPr>
        <w:t>GB/T50011</w:t>
      </w:r>
    </w:p>
    <w:p w14:paraId="49F22431">
      <w:pPr>
        <w:spacing w:line="312" w:lineRule="exact"/>
        <w:ind w:firstLine="420" w:firstLineChars="200"/>
        <w:rPr>
          <w:rFonts w:hint="eastAsia" w:ascii="Times New Roman" w:hAnsi="Times New Roman" w:eastAsiaTheme="minorEastAsia"/>
          <w:szCs w:val="21"/>
          <w:highlight w:val="none"/>
          <w:lang w:eastAsia="zh-CN"/>
        </w:rPr>
      </w:pPr>
      <w:r>
        <w:rPr>
          <w:rFonts w:hint="eastAsia" w:ascii="Times New Roman" w:hAnsi="Times New Roman" w:eastAsiaTheme="minorEastAsia"/>
          <w:szCs w:val="21"/>
          <w:highlight w:val="none"/>
          <w:lang w:val="en-US" w:eastAsia="zh-CN"/>
        </w:rPr>
        <w:t xml:space="preserve">4 </w:t>
      </w:r>
      <w:r>
        <w:rPr>
          <w:rFonts w:hint="eastAsia" w:ascii="Times New Roman" w:hAnsi="Times New Roman" w:eastAsiaTheme="minorEastAsia"/>
          <w:szCs w:val="21"/>
          <w:highlight w:val="none"/>
          <w:lang w:eastAsia="zh-CN"/>
        </w:rPr>
        <w:t>《建筑地基基础工程施工质量验收规范》GB 50202</w:t>
      </w:r>
    </w:p>
    <w:p w14:paraId="09203927">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 xml:space="preserve">5 </w:t>
      </w:r>
      <w:r>
        <w:rPr>
          <w:rFonts w:hint="eastAsia" w:ascii="Times New Roman" w:hAnsi="Times New Roman" w:eastAsiaTheme="minorEastAsia"/>
          <w:szCs w:val="21"/>
          <w:highlight w:val="none"/>
        </w:rPr>
        <w:t>《建筑与市政工程抗震通用规范》GB 55002</w:t>
      </w:r>
    </w:p>
    <w:p w14:paraId="4E0A5FB2">
      <w:pPr>
        <w:spacing w:line="312" w:lineRule="exact"/>
        <w:ind w:firstLine="420" w:firstLineChars="200"/>
        <w:rPr>
          <w:rFonts w:hint="eastAsia" w:ascii="Times New Roman" w:hAnsi="Times New Roman" w:eastAsiaTheme="minorEastAsia"/>
          <w:szCs w:val="21"/>
          <w:highlight w:val="none"/>
          <w:lang w:val="en-US" w:eastAsia="zh-CN"/>
        </w:rPr>
      </w:pPr>
      <w:r>
        <w:rPr>
          <w:rFonts w:hint="eastAsia" w:ascii="Times New Roman" w:hAnsi="Times New Roman" w:eastAsiaTheme="minorEastAsia"/>
          <w:szCs w:val="21"/>
          <w:highlight w:val="none"/>
          <w:lang w:val="en-US" w:eastAsia="zh-CN"/>
        </w:rPr>
        <w:t>6 《动力机器基础设计标准》GB 50040</w:t>
      </w:r>
    </w:p>
    <w:p w14:paraId="2332B088">
      <w:pPr>
        <w:spacing w:line="312" w:lineRule="exact"/>
        <w:ind w:firstLine="420" w:firstLineChars="200"/>
        <w:rPr>
          <w:rFonts w:hint="default"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7 《混凝土外加剂应用技术规范》GB50119</w:t>
      </w:r>
    </w:p>
    <w:p w14:paraId="2B2225C8">
      <w:pPr>
        <w:spacing w:line="312" w:lineRule="exact"/>
        <w:ind w:firstLine="420" w:firstLineChars="200"/>
        <w:rPr>
          <w:rFonts w:hint="default"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 xml:space="preserve">8 </w:t>
      </w:r>
      <w:r>
        <w:rPr>
          <w:rFonts w:hint="default" w:ascii="Times New Roman" w:hAnsi="Times New Roman" w:eastAsiaTheme="minorEastAsia"/>
          <w:szCs w:val="21"/>
          <w:highlight w:val="none"/>
        </w:rPr>
        <w:t>《钢结构工程施工质量验收标准》GB 50205</w:t>
      </w:r>
    </w:p>
    <w:p w14:paraId="34BD8093">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9 《盐渍土地区建筑技术规范》GBT 50942</w:t>
      </w:r>
    </w:p>
    <w:p w14:paraId="52804D8C">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10</w:t>
      </w:r>
      <w:r>
        <w:rPr>
          <w:rFonts w:hint="eastAsia" w:ascii="Times New Roman" w:hAnsi="Times New Roman" w:eastAsiaTheme="minorEastAsia"/>
          <w:szCs w:val="21"/>
          <w:highlight w:val="none"/>
        </w:rPr>
        <w:t>《先张法预应力混凝土管桩》GB/T 13476</w:t>
      </w:r>
    </w:p>
    <w:p w14:paraId="295E0F77">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11</w:t>
      </w:r>
      <w:r>
        <w:rPr>
          <w:rFonts w:hint="eastAsia" w:ascii="Times New Roman" w:hAnsi="Times New Roman" w:eastAsiaTheme="minorEastAsia"/>
          <w:szCs w:val="21"/>
          <w:highlight w:val="none"/>
        </w:rPr>
        <w:t>《建筑</w:t>
      </w:r>
      <w:r>
        <w:rPr>
          <w:rFonts w:hint="eastAsia" w:ascii="Times New Roman" w:hAnsi="Times New Roman" w:eastAsiaTheme="minorEastAsia"/>
          <w:szCs w:val="21"/>
          <w:highlight w:val="none"/>
          <w:lang w:val="en-US" w:eastAsia="zh-CN"/>
        </w:rPr>
        <w:t>桩</w:t>
      </w:r>
      <w:r>
        <w:rPr>
          <w:rFonts w:hint="eastAsia" w:ascii="Times New Roman" w:hAnsi="Times New Roman" w:eastAsiaTheme="minorEastAsia"/>
          <w:szCs w:val="21"/>
          <w:highlight w:val="none"/>
        </w:rPr>
        <w:t>基技术规范》JGJ 94</w:t>
      </w:r>
    </w:p>
    <w:p w14:paraId="3B058CA0">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12</w:t>
      </w:r>
      <w:r>
        <w:rPr>
          <w:rFonts w:hint="eastAsia" w:ascii="Times New Roman" w:hAnsi="Times New Roman" w:eastAsiaTheme="minorEastAsia"/>
          <w:szCs w:val="21"/>
          <w:highlight w:val="none"/>
        </w:rPr>
        <w:t>《建筑基</w:t>
      </w:r>
      <w:r>
        <w:rPr>
          <w:rFonts w:hint="eastAsia" w:ascii="Times New Roman" w:hAnsi="Times New Roman" w:eastAsiaTheme="minorEastAsia"/>
          <w:szCs w:val="21"/>
          <w:highlight w:val="none"/>
          <w:lang w:val="en-US" w:eastAsia="zh-CN"/>
        </w:rPr>
        <w:t>桩</w:t>
      </w:r>
      <w:r>
        <w:rPr>
          <w:rFonts w:hint="eastAsia" w:ascii="Times New Roman" w:hAnsi="Times New Roman" w:eastAsiaTheme="minorEastAsia"/>
          <w:szCs w:val="21"/>
          <w:highlight w:val="none"/>
        </w:rPr>
        <w:t>检测技术规范》JGJ 106</w:t>
      </w:r>
    </w:p>
    <w:p w14:paraId="52CCE2ED">
      <w:pPr>
        <w:spacing w:line="312" w:lineRule="exact"/>
        <w:ind w:firstLine="420" w:firstLineChars="200"/>
        <w:rPr>
          <w:rFonts w:hint="default"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13</w:t>
      </w:r>
      <w:r>
        <w:rPr>
          <w:rFonts w:hint="default" w:ascii="Times New Roman" w:hAnsi="Times New Roman" w:eastAsiaTheme="minorEastAsia"/>
          <w:szCs w:val="21"/>
          <w:highlight w:val="none"/>
        </w:rPr>
        <w:t>《建筑地基处理技术规范》JGJ 79</w:t>
      </w:r>
    </w:p>
    <w:p w14:paraId="36A3CD85">
      <w:pPr>
        <w:spacing w:line="312" w:lineRule="exact"/>
        <w:ind w:firstLine="420" w:firstLineChars="200"/>
        <w:rPr>
          <w:rFonts w:hint="default" w:ascii="Times New Roman" w:hAnsi="Times New Roman" w:eastAsiaTheme="minorEastAsia"/>
          <w:szCs w:val="21"/>
          <w:highlight w:val="none"/>
          <w:lang w:val="en-US" w:eastAsia="zh-CN"/>
        </w:rPr>
      </w:pPr>
      <w:r>
        <w:rPr>
          <w:rFonts w:hint="eastAsia" w:ascii="Times New Roman" w:hAnsi="Times New Roman" w:eastAsiaTheme="minorEastAsia"/>
          <w:szCs w:val="21"/>
          <w:highlight w:val="none"/>
          <w:lang w:val="en-US" w:eastAsia="zh-CN"/>
        </w:rPr>
        <w:t>14《建筑变形测量规范》JGJ 8</w:t>
      </w:r>
    </w:p>
    <w:p w14:paraId="6640D5AC">
      <w:pPr>
        <w:spacing w:line="312" w:lineRule="exact"/>
        <w:ind w:firstLine="420" w:firstLineChars="200"/>
        <w:rPr>
          <w:rFonts w:hint="default" w:ascii="Times New Roman" w:hAnsi="Times New Roman" w:eastAsiaTheme="minorEastAsia"/>
          <w:szCs w:val="21"/>
          <w:highlight w:val="none"/>
        </w:rPr>
      </w:pPr>
      <w:r>
        <w:rPr>
          <w:rFonts w:hint="eastAsia" w:ascii="Times New Roman" w:hAnsi="Times New Roman" w:eastAsiaTheme="minorEastAsia"/>
          <w:strike w:val="0"/>
          <w:dstrike w:val="0"/>
          <w:szCs w:val="21"/>
          <w:highlight w:val="none"/>
          <w:lang w:val="en-US" w:eastAsia="zh-CN"/>
        </w:rPr>
        <w:t>15《石油化工构筑物抗震设计规范》SH 3147</w:t>
      </w:r>
    </w:p>
    <w:p w14:paraId="1FB7E2E4">
      <w:pPr>
        <w:spacing w:line="312" w:lineRule="exact"/>
        <w:ind w:firstLine="420" w:firstLineChars="200"/>
        <w:rPr>
          <w:rFonts w:hint="eastAsia" w:ascii="Times New Roman" w:hAnsi="Times New Roman" w:eastAsiaTheme="minorEastAsia"/>
          <w:szCs w:val="21"/>
          <w:highlight w:val="none"/>
          <w:lang w:eastAsia="zh-CN"/>
        </w:rPr>
      </w:pPr>
      <w:r>
        <w:rPr>
          <w:rFonts w:hint="eastAsia" w:ascii="Times New Roman" w:hAnsi="Times New Roman" w:eastAsiaTheme="minorEastAsia"/>
          <w:szCs w:val="21"/>
          <w:highlight w:val="none"/>
          <w:lang w:val="en-US" w:eastAsia="zh-CN"/>
        </w:rPr>
        <w:t>16</w:t>
      </w:r>
      <w:r>
        <w:rPr>
          <w:rFonts w:hint="eastAsia" w:ascii="Times New Roman" w:hAnsi="Times New Roman" w:eastAsiaTheme="minorEastAsia"/>
          <w:szCs w:val="21"/>
          <w:highlight w:val="none"/>
          <w:lang w:eastAsia="zh-CN"/>
        </w:rPr>
        <w:t>《型钢水泥土搅拌墙技术规程》JGJ/T 199</w:t>
      </w:r>
    </w:p>
    <w:p w14:paraId="18E769AE">
      <w:pPr>
        <w:spacing w:line="312" w:lineRule="exact"/>
        <w:ind w:firstLine="420" w:firstLineChars="200"/>
        <w:rPr>
          <w:rFonts w:hint="default"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17</w:t>
      </w:r>
      <w:r>
        <w:rPr>
          <w:rFonts w:hint="default" w:ascii="Times New Roman" w:hAnsi="Times New Roman" w:eastAsiaTheme="minorEastAsia"/>
          <w:szCs w:val="21"/>
          <w:highlight w:val="none"/>
        </w:rPr>
        <w:t>《普通混凝土砂、石质量及检验方法标准》JGJ</w:t>
      </w:r>
      <w:r>
        <w:rPr>
          <w:rFonts w:hint="default" w:ascii="Times New Roman" w:hAnsi="Times New Roman" w:eastAsiaTheme="minorEastAsia"/>
          <w:szCs w:val="21"/>
          <w:highlight w:val="none"/>
          <w:lang w:val="en-US" w:eastAsia="zh-CN"/>
        </w:rPr>
        <w:t xml:space="preserve"> </w:t>
      </w:r>
      <w:r>
        <w:rPr>
          <w:rFonts w:hint="default" w:ascii="Times New Roman" w:hAnsi="Times New Roman" w:eastAsiaTheme="minorEastAsia"/>
          <w:szCs w:val="21"/>
          <w:highlight w:val="none"/>
        </w:rPr>
        <w:t>52</w:t>
      </w:r>
    </w:p>
    <w:p w14:paraId="3BA811C6">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18</w:t>
      </w:r>
      <w:r>
        <w:rPr>
          <w:rFonts w:hint="eastAsia" w:ascii="Times New Roman" w:hAnsi="Times New Roman" w:eastAsiaTheme="minorEastAsia"/>
          <w:szCs w:val="21"/>
          <w:highlight w:val="none"/>
        </w:rPr>
        <w:t>《预应力混凝土管桩技术标准》JGJ/T</w:t>
      </w:r>
      <w:r>
        <w:rPr>
          <w:rFonts w:hint="eastAsia"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rPr>
        <w:t>406</w:t>
      </w:r>
    </w:p>
    <w:p w14:paraId="3A510607">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19</w:t>
      </w:r>
      <w:r>
        <w:rPr>
          <w:rFonts w:hint="eastAsia" w:ascii="Times New Roman" w:hAnsi="Times New Roman" w:eastAsiaTheme="minorEastAsia"/>
          <w:szCs w:val="21"/>
          <w:highlight w:val="none"/>
        </w:rPr>
        <w:t>《劲性复合桩技术规程》JGJ/T</w:t>
      </w:r>
      <w:r>
        <w:rPr>
          <w:rFonts w:hint="eastAsia"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rPr>
        <w:t>327</w:t>
      </w:r>
    </w:p>
    <w:p w14:paraId="29C99840">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20</w:t>
      </w:r>
      <w:r>
        <w:rPr>
          <w:rFonts w:hint="eastAsia" w:ascii="Times New Roman" w:hAnsi="Times New Roman" w:eastAsiaTheme="minorEastAsia"/>
          <w:szCs w:val="21"/>
          <w:highlight w:val="none"/>
        </w:rPr>
        <w:t>《水泥土复合管桩基础技术规程》JGJ/T</w:t>
      </w:r>
      <w:r>
        <w:rPr>
          <w:rFonts w:hint="eastAsia"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rPr>
        <w:t>330</w:t>
      </w:r>
    </w:p>
    <w:p w14:paraId="3516A726">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21</w:t>
      </w:r>
      <w:r>
        <w:rPr>
          <w:rFonts w:hint="eastAsia" w:ascii="Times New Roman" w:hAnsi="Times New Roman" w:eastAsiaTheme="minorEastAsia"/>
          <w:szCs w:val="21"/>
          <w:highlight w:val="none"/>
        </w:rPr>
        <w:t>《四川省预成孔植桩技术标准》DBJ51/T</w:t>
      </w:r>
      <w:r>
        <w:rPr>
          <w:rFonts w:hint="eastAsia"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rPr>
        <w:t>184</w:t>
      </w:r>
    </w:p>
    <w:p w14:paraId="4D7AEDD7">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22</w:t>
      </w:r>
      <w:r>
        <w:rPr>
          <w:rFonts w:hint="eastAsia" w:ascii="Times New Roman" w:hAnsi="Times New Roman" w:eastAsiaTheme="minorEastAsia"/>
          <w:szCs w:val="21"/>
          <w:highlight w:val="none"/>
        </w:rPr>
        <w:t>《静钻根植桩基础技术规程》DB33/T 1134</w:t>
      </w:r>
    </w:p>
    <w:p w14:paraId="60234807">
      <w:pPr>
        <w:spacing w:line="312" w:lineRule="exact"/>
        <w:ind w:firstLine="420" w:firstLineChars="200"/>
        <w:rPr>
          <w:rFonts w:hint="eastAsia" w:ascii="Times New Roman" w:hAnsi="Times New Roman" w:eastAsiaTheme="minorEastAsia"/>
          <w:szCs w:val="21"/>
          <w:highlight w:val="none"/>
        </w:rPr>
      </w:pPr>
      <w:r>
        <w:rPr>
          <w:rFonts w:hint="eastAsia" w:ascii="Times New Roman" w:hAnsi="Times New Roman" w:eastAsiaTheme="minorEastAsia"/>
          <w:szCs w:val="21"/>
          <w:highlight w:val="none"/>
          <w:lang w:val="en-US" w:eastAsia="zh-CN"/>
        </w:rPr>
        <w:t>23</w:t>
      </w:r>
      <w:r>
        <w:rPr>
          <w:rFonts w:hint="eastAsia" w:ascii="Times New Roman" w:hAnsi="Times New Roman" w:eastAsiaTheme="minorEastAsia"/>
          <w:szCs w:val="21"/>
          <w:highlight w:val="none"/>
        </w:rPr>
        <w:t>《水泥土复合混凝土空心桩基础技术规程》DB37/T 5141</w:t>
      </w:r>
    </w:p>
    <w:p w14:paraId="2F82062E">
      <w:pPr>
        <w:spacing w:line="312" w:lineRule="exact"/>
        <w:ind w:firstLine="420" w:firstLineChars="200"/>
        <w:rPr>
          <w:rFonts w:hint="default" w:ascii="Times New Roman" w:hAnsi="Times New Roman" w:eastAsiaTheme="minorEastAsia"/>
          <w:szCs w:val="21"/>
          <w:highlight w:val="none"/>
          <w:lang w:val="en-US" w:eastAsia="zh-CN"/>
        </w:rPr>
      </w:pPr>
      <w:r>
        <w:rPr>
          <w:rFonts w:hint="eastAsia" w:ascii="Times New Roman" w:hAnsi="Times New Roman" w:eastAsiaTheme="minorEastAsia"/>
          <w:szCs w:val="21"/>
          <w:highlight w:val="none"/>
          <w:lang w:val="en-US" w:eastAsia="zh-CN"/>
        </w:rPr>
        <w:t>24</w:t>
      </w:r>
      <w:r>
        <w:rPr>
          <w:rFonts w:hint="eastAsia" w:ascii="Times New Roman" w:hAnsi="Times New Roman" w:eastAsiaTheme="minorEastAsia"/>
          <w:szCs w:val="21"/>
          <w:highlight w:val="none"/>
        </w:rPr>
        <w:t>《植入法预制桩技术规程》DBJ/T 45-110</w:t>
      </w:r>
    </w:p>
    <w:p w14:paraId="3986FFC1">
      <w:pPr>
        <w:widowControl/>
        <w:ind w:firstLine="420" w:firstLineChars="200"/>
        <w:jc w:val="left"/>
        <w:rPr>
          <w:highlight w:val="none"/>
        </w:rPr>
      </w:pPr>
      <w:r>
        <w:rPr>
          <w:highlight w:val="none"/>
        </w:rPr>
        <w:br w:type="page"/>
      </w:r>
    </w:p>
    <w:p w14:paraId="200F00E7">
      <w:pPr>
        <w:pStyle w:val="2"/>
        <w:spacing w:before="156" w:after="156"/>
        <w:rPr>
          <w:highlight w:val="none"/>
        </w:rPr>
      </w:pPr>
      <w:bookmarkStart w:id="188" w:name="_Toc13990"/>
      <w:bookmarkStart w:id="189" w:name="_Toc32682"/>
      <w:bookmarkStart w:id="190" w:name="_Toc16733"/>
      <w:r>
        <w:rPr>
          <w:highlight w:val="none"/>
        </w:rPr>
        <w:t>本</w:t>
      </w:r>
      <w:r>
        <w:rPr>
          <w:rFonts w:hint="eastAsia"/>
          <w:highlight w:val="none"/>
          <w:lang w:val="en-US" w:eastAsia="zh-CN"/>
        </w:rPr>
        <w:t>规范</w:t>
      </w:r>
      <w:r>
        <w:rPr>
          <w:highlight w:val="none"/>
        </w:rPr>
        <w:t>用词说明</w:t>
      </w:r>
      <w:bookmarkEnd w:id="188"/>
      <w:bookmarkEnd w:id="189"/>
      <w:bookmarkEnd w:id="190"/>
    </w:p>
    <w:p w14:paraId="5FE10F72">
      <w:pPr>
        <w:adjustRightInd w:val="0"/>
        <w:snapToGrid w:val="0"/>
        <w:spacing w:line="312" w:lineRule="exact"/>
        <w:ind w:firstLine="420" w:firstLineChars="200"/>
        <w:rPr>
          <w:rFonts w:asciiTheme="minorEastAsia" w:hAnsiTheme="minorEastAsia" w:eastAsiaTheme="minorEastAsia" w:cstheme="minorEastAsia"/>
          <w:szCs w:val="21"/>
          <w:highlight w:val="none"/>
        </w:rPr>
      </w:pPr>
      <w:r>
        <w:rPr>
          <w:rFonts w:hint="eastAsia" w:ascii="黑体" w:hAnsi="黑体" w:eastAsia="黑体" w:cs="黑体"/>
          <w:szCs w:val="21"/>
          <w:highlight w:val="none"/>
        </w:rPr>
        <w:t>1</w:t>
      </w:r>
      <w:r>
        <w:rPr>
          <w:rFonts w:hint="eastAsia" w:asciiTheme="minorEastAsia" w:hAnsiTheme="minorEastAsia" w:eastAsiaTheme="minorEastAsia" w:cstheme="minorEastAsia"/>
          <w:b/>
          <w:bCs/>
          <w:szCs w:val="21"/>
          <w:highlight w:val="none"/>
        </w:rPr>
        <w:t xml:space="preserve">  </w:t>
      </w:r>
      <w:r>
        <w:rPr>
          <w:rFonts w:hint="eastAsia" w:asciiTheme="minorEastAsia" w:hAnsiTheme="minorEastAsia" w:eastAsiaTheme="minorEastAsia" w:cstheme="minorEastAsia"/>
          <w:szCs w:val="21"/>
          <w:highlight w:val="none"/>
        </w:rPr>
        <w:t>为便于在执行本</w:t>
      </w:r>
      <w:r>
        <w:rPr>
          <w:rFonts w:hint="eastAsia" w:asciiTheme="minorEastAsia" w:hAnsiTheme="minorEastAsia" w:eastAsiaTheme="minorEastAsia" w:cstheme="minorEastAsia"/>
          <w:szCs w:val="21"/>
          <w:highlight w:val="none"/>
          <w:lang w:val="en-US" w:eastAsia="zh-CN"/>
        </w:rPr>
        <w:t>规范</w:t>
      </w:r>
      <w:r>
        <w:rPr>
          <w:rFonts w:hint="eastAsia" w:asciiTheme="minorEastAsia" w:hAnsiTheme="minorEastAsia" w:eastAsiaTheme="minorEastAsia" w:cstheme="minorEastAsia"/>
          <w:szCs w:val="21"/>
          <w:highlight w:val="none"/>
        </w:rPr>
        <w:t>条文时区别对待，对要求严格程度不同的用词说明如下：</w:t>
      </w:r>
    </w:p>
    <w:p w14:paraId="3FAB85D0">
      <w:pPr>
        <w:adjustRightInd w:val="0"/>
        <w:snapToGrid w:val="0"/>
        <w:spacing w:line="312" w:lineRule="exact"/>
        <w:ind w:firstLine="630" w:firstLineChars="3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bCs/>
          <w:szCs w:val="21"/>
          <w:highlight w:val="none"/>
        </w:rPr>
        <w:t xml:space="preserve">1） </w:t>
      </w:r>
      <w:r>
        <w:rPr>
          <w:rFonts w:hint="eastAsia" w:asciiTheme="minorEastAsia" w:hAnsiTheme="minorEastAsia" w:eastAsiaTheme="minorEastAsia" w:cstheme="minorEastAsia"/>
          <w:szCs w:val="21"/>
          <w:highlight w:val="none"/>
        </w:rPr>
        <w:t>表示很严格，非这样做不可的用词：</w:t>
      </w:r>
    </w:p>
    <w:p w14:paraId="559AFD99">
      <w:pPr>
        <w:adjustRightInd w:val="0"/>
        <w:snapToGrid w:val="0"/>
        <w:spacing w:line="312" w:lineRule="exact"/>
        <w:ind w:firstLine="1050" w:firstLineChars="5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正面词采用“必须”；</w:t>
      </w:r>
    </w:p>
    <w:p w14:paraId="0BECFA9E">
      <w:pPr>
        <w:adjustRightInd w:val="0"/>
        <w:snapToGrid w:val="0"/>
        <w:spacing w:line="312" w:lineRule="exact"/>
        <w:ind w:firstLine="1050" w:firstLineChars="5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反面词采用“严禁”。    </w:t>
      </w:r>
    </w:p>
    <w:p w14:paraId="5A91D338">
      <w:pPr>
        <w:adjustRightInd w:val="0"/>
        <w:snapToGrid w:val="0"/>
        <w:spacing w:line="312" w:lineRule="exact"/>
        <w:ind w:firstLine="630" w:firstLineChars="3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bCs/>
          <w:szCs w:val="21"/>
          <w:highlight w:val="none"/>
        </w:rPr>
        <w:t xml:space="preserve">2） </w:t>
      </w:r>
      <w:r>
        <w:rPr>
          <w:rFonts w:hint="eastAsia" w:asciiTheme="minorEastAsia" w:hAnsiTheme="minorEastAsia" w:eastAsiaTheme="minorEastAsia" w:cstheme="minorEastAsia"/>
          <w:szCs w:val="21"/>
          <w:highlight w:val="none"/>
        </w:rPr>
        <w:t>表示严格，在正常情况下均应这样做的用词：</w:t>
      </w:r>
    </w:p>
    <w:p w14:paraId="3AB5F540">
      <w:pPr>
        <w:adjustRightInd w:val="0"/>
        <w:snapToGrid w:val="0"/>
        <w:spacing w:line="312" w:lineRule="exact"/>
        <w:ind w:firstLine="1050" w:firstLineChars="5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正面词采用“应”；</w:t>
      </w:r>
    </w:p>
    <w:p w14:paraId="1266ADF4">
      <w:pPr>
        <w:adjustRightInd w:val="0"/>
        <w:snapToGrid w:val="0"/>
        <w:spacing w:line="312" w:lineRule="exact"/>
        <w:ind w:firstLine="1050" w:firstLineChars="5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反面词采用“不应”或“不得”。</w:t>
      </w:r>
    </w:p>
    <w:p w14:paraId="29777AB8">
      <w:pPr>
        <w:adjustRightInd w:val="0"/>
        <w:snapToGrid w:val="0"/>
        <w:spacing w:line="312" w:lineRule="exact"/>
        <w:ind w:left="1050" w:leftChars="300" w:hanging="420" w:hangingChars="2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bCs/>
          <w:szCs w:val="21"/>
          <w:highlight w:val="none"/>
        </w:rPr>
        <w:t xml:space="preserve">3） </w:t>
      </w:r>
      <w:r>
        <w:rPr>
          <w:rFonts w:hint="eastAsia" w:asciiTheme="minorEastAsia" w:hAnsiTheme="minorEastAsia" w:eastAsiaTheme="minorEastAsia" w:cstheme="minorEastAsia"/>
          <w:spacing w:val="2"/>
          <w:szCs w:val="21"/>
          <w:highlight w:val="none"/>
        </w:rPr>
        <w:t>表示允许稍有选择，在条件许可时，首先应这样做的用</w:t>
      </w:r>
      <w:r>
        <w:rPr>
          <w:rFonts w:hint="eastAsia" w:asciiTheme="minorEastAsia" w:hAnsiTheme="minorEastAsia" w:eastAsiaTheme="minorEastAsia" w:cstheme="minorEastAsia"/>
          <w:szCs w:val="21"/>
          <w:highlight w:val="none"/>
        </w:rPr>
        <w:t>词：</w:t>
      </w:r>
    </w:p>
    <w:p w14:paraId="23321E9B">
      <w:pPr>
        <w:adjustRightInd w:val="0"/>
        <w:snapToGrid w:val="0"/>
        <w:spacing w:line="312" w:lineRule="exact"/>
        <w:ind w:firstLine="1050" w:firstLineChars="5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正面词采用“宜”；</w:t>
      </w:r>
    </w:p>
    <w:p w14:paraId="4C4F69B4">
      <w:pPr>
        <w:adjustRightInd w:val="0"/>
        <w:snapToGrid w:val="0"/>
        <w:spacing w:line="312" w:lineRule="exact"/>
        <w:ind w:firstLine="1050" w:firstLineChars="5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反面词采用“不宜”；</w:t>
      </w:r>
    </w:p>
    <w:p w14:paraId="1F31571A">
      <w:pPr>
        <w:adjustRightInd w:val="0"/>
        <w:snapToGrid w:val="0"/>
        <w:spacing w:line="312" w:lineRule="exact"/>
        <w:ind w:firstLine="630" w:firstLineChars="3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bCs/>
          <w:szCs w:val="21"/>
          <w:highlight w:val="none"/>
        </w:rPr>
        <w:t xml:space="preserve">4） </w:t>
      </w:r>
      <w:r>
        <w:rPr>
          <w:rFonts w:hint="eastAsia" w:asciiTheme="minorEastAsia" w:hAnsiTheme="minorEastAsia" w:eastAsiaTheme="minorEastAsia" w:cstheme="minorEastAsia"/>
          <w:szCs w:val="21"/>
          <w:highlight w:val="none"/>
        </w:rPr>
        <w:t>表示有选择，在一定条件下可以这样做的用词；</w:t>
      </w:r>
    </w:p>
    <w:p w14:paraId="3461AB2C">
      <w:pPr>
        <w:adjustRightInd w:val="0"/>
        <w:snapToGrid w:val="0"/>
        <w:spacing w:line="312" w:lineRule="exact"/>
        <w:ind w:firstLine="1050" w:firstLineChars="5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正面词采用“可”；</w:t>
      </w:r>
    </w:p>
    <w:p w14:paraId="048C0E53">
      <w:pPr>
        <w:adjustRightInd w:val="0"/>
        <w:snapToGrid w:val="0"/>
        <w:spacing w:line="312" w:lineRule="exact"/>
        <w:ind w:firstLine="1050" w:firstLineChars="5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反面词采用“不可”。</w:t>
      </w:r>
    </w:p>
    <w:p w14:paraId="78D58A40">
      <w:pPr>
        <w:adjustRightInd w:val="0"/>
        <w:snapToGrid w:val="0"/>
        <w:spacing w:line="312" w:lineRule="exact"/>
        <w:ind w:firstLine="420" w:firstLineChars="200"/>
        <w:rPr>
          <w:rFonts w:asciiTheme="minorEastAsia" w:hAnsiTheme="minorEastAsia" w:eastAsiaTheme="minorEastAsia" w:cstheme="minorEastAsia"/>
          <w:szCs w:val="21"/>
          <w:highlight w:val="none"/>
        </w:rPr>
      </w:pPr>
      <w:r>
        <w:rPr>
          <w:rFonts w:hint="eastAsia" w:ascii="黑体" w:hAnsi="黑体" w:eastAsia="黑体" w:cs="黑体"/>
          <w:szCs w:val="21"/>
          <w:highlight w:val="none"/>
        </w:rPr>
        <w:t>2</w:t>
      </w:r>
      <w:r>
        <w:rPr>
          <w:rFonts w:hint="eastAsia" w:asciiTheme="minorEastAsia" w:hAnsiTheme="minorEastAsia" w:eastAsiaTheme="minorEastAsia" w:cstheme="minorEastAsia"/>
          <w:bCs/>
          <w:szCs w:val="21"/>
          <w:highlight w:val="none"/>
        </w:rPr>
        <w:t xml:space="preserve">  </w:t>
      </w:r>
      <w:r>
        <w:rPr>
          <w:rFonts w:hint="eastAsia" w:asciiTheme="minorEastAsia" w:hAnsiTheme="minorEastAsia" w:eastAsiaTheme="minorEastAsia" w:cstheme="minorEastAsia"/>
          <w:szCs w:val="21"/>
          <w:highlight w:val="none"/>
        </w:rPr>
        <w:t>本</w:t>
      </w:r>
      <w:r>
        <w:rPr>
          <w:rFonts w:hint="eastAsia" w:asciiTheme="minorEastAsia" w:hAnsiTheme="minorEastAsia" w:eastAsiaTheme="minorEastAsia" w:cstheme="minorEastAsia"/>
          <w:szCs w:val="21"/>
          <w:highlight w:val="none"/>
          <w:lang w:val="en-US" w:eastAsia="zh-CN"/>
        </w:rPr>
        <w:t>规范</w:t>
      </w:r>
      <w:r>
        <w:rPr>
          <w:rFonts w:hint="eastAsia" w:asciiTheme="minorEastAsia" w:hAnsiTheme="minorEastAsia" w:eastAsiaTheme="minorEastAsia" w:cstheme="minorEastAsia"/>
          <w:szCs w:val="21"/>
          <w:highlight w:val="none"/>
        </w:rPr>
        <w:t>条文中指明应按其他有关标准、规范执行的，写法为“应按……执行”（或采用）或“应符合……规定（或要求）”。非必须按指定的标准、规范执行时，写法为“可参照……”。</w:t>
      </w:r>
    </w:p>
    <w:p w14:paraId="4CAC4BBD">
      <w:pPr>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szCs w:val="21"/>
          <w:highlight w:val="none"/>
        </w:rPr>
        <w:br w:type="page"/>
      </w:r>
    </w:p>
    <w:p w14:paraId="06010166">
      <w:pPr>
        <w:spacing w:line="400" w:lineRule="exact"/>
        <w:jc w:val="center"/>
        <w:rPr>
          <w:rFonts w:eastAsia="方正书宋简体"/>
          <w:sz w:val="28"/>
          <w:szCs w:val="28"/>
          <w:highlight w:val="none"/>
        </w:rPr>
      </w:pPr>
      <w:r>
        <w:rPr>
          <w:rFonts w:hint="eastAsia" w:ascii="宋体" w:hAnsi="宋体" w:cs="宋体"/>
          <w:b/>
          <w:bCs/>
          <w:sz w:val="28"/>
          <w:szCs w:val="28"/>
          <w:highlight w:val="none"/>
        </w:rPr>
        <w:t>中国石油和化工勘察设计协会团体标准</w:t>
      </w:r>
    </w:p>
    <w:p w14:paraId="271C819D">
      <w:pPr>
        <w:snapToGrid w:val="0"/>
        <w:spacing w:before="312" w:beforeLines="100" w:line="600" w:lineRule="exact"/>
        <w:jc w:val="center"/>
        <w:rPr>
          <w:rFonts w:ascii="黑体" w:hAnsi="黑体" w:eastAsia="黑体" w:cs="黑体"/>
          <w:w w:val="90"/>
          <w:kern w:val="0"/>
          <w:sz w:val="44"/>
          <w:szCs w:val="44"/>
          <w:highlight w:val="none"/>
        </w:rPr>
      </w:pPr>
      <w:r>
        <w:rPr>
          <w:rFonts w:hint="eastAsia" w:ascii="黑体" w:hAnsi="黑体" w:eastAsia="黑体" w:cs="黑体"/>
          <w:w w:val="90"/>
          <w:kern w:val="0"/>
          <w:sz w:val="44"/>
          <w:szCs w:val="44"/>
          <w:highlight w:val="none"/>
          <w:lang w:val="en-US" w:eastAsia="zh-CN"/>
        </w:rPr>
        <w:t>预制桩植桩应用技术规范</w:t>
      </w:r>
    </w:p>
    <w:p w14:paraId="750AE279">
      <w:pPr>
        <w:spacing w:line="320" w:lineRule="exact"/>
        <w:jc w:val="center"/>
        <w:rPr>
          <w:rFonts w:eastAsia="方正书宋简体"/>
          <w:b/>
          <w:spacing w:val="10"/>
          <w:highlight w:val="none"/>
        </w:rPr>
      </w:pPr>
    </w:p>
    <w:p w14:paraId="24493A5D">
      <w:pPr>
        <w:adjustRightInd w:val="0"/>
        <w:snapToGrid w:val="0"/>
        <w:spacing w:line="360" w:lineRule="exact"/>
        <w:jc w:val="center"/>
        <w:rPr>
          <w:rFonts w:eastAsia="方正书宋简体"/>
          <w:b/>
          <w:bCs/>
          <w:szCs w:val="15"/>
          <w:highlight w:val="none"/>
        </w:rPr>
      </w:pPr>
    </w:p>
    <w:p w14:paraId="60CA9938">
      <w:pPr>
        <w:pStyle w:val="2"/>
        <w:spacing w:before="156" w:after="156"/>
        <w:rPr>
          <w:rFonts w:asciiTheme="minorEastAsia" w:hAnsiTheme="minorEastAsia" w:eastAsiaTheme="minorEastAsia" w:cstheme="minorEastAsia"/>
          <w:sz w:val="32"/>
          <w:szCs w:val="32"/>
          <w:highlight w:val="none"/>
        </w:rPr>
      </w:pPr>
      <w:bookmarkStart w:id="191" w:name="_Toc3762"/>
      <w:bookmarkStart w:id="192" w:name="_Toc478810173"/>
      <w:bookmarkStart w:id="193" w:name="_Toc478803316"/>
      <w:bookmarkStart w:id="194" w:name="_Toc25397"/>
      <w:bookmarkStart w:id="195" w:name="_Toc9089"/>
      <w:r>
        <w:rPr>
          <w:rFonts w:hint="eastAsia" w:asciiTheme="minorEastAsia" w:hAnsiTheme="minorEastAsia" w:eastAsiaTheme="minorEastAsia" w:cstheme="minorEastAsia"/>
          <w:sz w:val="32"/>
          <w:szCs w:val="32"/>
          <w:highlight w:val="none"/>
        </w:rPr>
        <w:t>条  文  说  明</w:t>
      </w:r>
      <w:bookmarkEnd w:id="191"/>
      <w:bookmarkEnd w:id="192"/>
      <w:bookmarkEnd w:id="193"/>
      <w:bookmarkEnd w:id="194"/>
      <w:bookmarkEnd w:id="195"/>
    </w:p>
    <w:p w14:paraId="67957450">
      <w:pPr>
        <w:rPr>
          <w:rFonts w:asciiTheme="minorEastAsia" w:hAnsiTheme="minorEastAsia" w:eastAsiaTheme="minorEastAsia" w:cstheme="minorEastAsia"/>
          <w:sz w:val="32"/>
          <w:szCs w:val="32"/>
          <w:highlight w:val="none"/>
        </w:rPr>
      </w:pPr>
      <w:r>
        <w:rPr>
          <w:rFonts w:hint="eastAsia" w:asciiTheme="minorEastAsia" w:hAnsiTheme="minorEastAsia" w:eastAsiaTheme="minorEastAsia" w:cstheme="minorEastAsia"/>
          <w:sz w:val="32"/>
          <w:szCs w:val="32"/>
          <w:highlight w:val="none"/>
        </w:rPr>
        <w:br w:type="page"/>
      </w:r>
    </w:p>
    <w:p w14:paraId="4B6F5768">
      <w:pPr>
        <w:jc w:val="center"/>
        <w:rPr>
          <w:rFonts w:ascii="宋体" w:hAnsi="宋体" w:cs="宋体"/>
          <w:bCs/>
          <w:sz w:val="28"/>
          <w:szCs w:val="28"/>
          <w:highlight w:val="none"/>
        </w:rPr>
      </w:pPr>
      <w:r>
        <w:rPr>
          <w:rFonts w:hint="eastAsia" w:ascii="宋体" w:hAnsi="宋体" w:cs="宋体"/>
          <w:bCs/>
          <w:kern w:val="0"/>
          <w:sz w:val="28"/>
          <w:szCs w:val="28"/>
          <w:highlight w:val="none"/>
          <w:lang w:val="en-US" w:eastAsia="zh-CN"/>
        </w:rPr>
        <w:t>制</w:t>
      </w:r>
      <w:r>
        <w:rPr>
          <w:rFonts w:hint="eastAsia" w:ascii="宋体" w:hAnsi="宋体" w:cs="宋体"/>
          <w:bCs/>
          <w:kern w:val="0"/>
          <w:sz w:val="28"/>
          <w:szCs w:val="28"/>
          <w:highlight w:val="none"/>
        </w:rPr>
        <w:t xml:space="preserve"> </w:t>
      </w:r>
      <w:r>
        <w:rPr>
          <w:rFonts w:hint="eastAsia" w:ascii="宋体" w:hAnsi="宋体" w:cs="宋体"/>
          <w:bCs/>
          <w:kern w:val="0"/>
          <w:sz w:val="28"/>
          <w:szCs w:val="28"/>
          <w:highlight w:val="none"/>
          <w:lang w:val="en-US" w:eastAsia="zh-CN"/>
        </w:rPr>
        <w:t>定</w:t>
      </w:r>
      <w:r>
        <w:rPr>
          <w:rFonts w:hint="eastAsia" w:ascii="宋体" w:hAnsi="宋体" w:cs="宋体"/>
          <w:bCs/>
          <w:kern w:val="0"/>
          <w:sz w:val="28"/>
          <w:szCs w:val="28"/>
          <w:highlight w:val="none"/>
        </w:rPr>
        <w:t xml:space="preserve"> 说 明</w:t>
      </w:r>
    </w:p>
    <w:p w14:paraId="65175140">
      <w:pPr>
        <w:ind w:firstLine="420" w:firstLineChars="200"/>
        <w:jc w:val="center"/>
        <w:rPr>
          <w:bCs/>
          <w:highlight w:val="none"/>
        </w:rPr>
      </w:pPr>
    </w:p>
    <w:p w14:paraId="4F89B1BF">
      <w:pPr>
        <w:widowControl/>
        <w:spacing w:line="360" w:lineRule="auto"/>
        <w:ind w:firstLine="420" w:firstLineChars="200"/>
        <w:rPr>
          <w:rFonts w:ascii="宋体" w:hAnsi="宋体" w:cs="宋体"/>
          <w:szCs w:val="21"/>
          <w:highlight w:val="yellow"/>
        </w:rPr>
      </w:pPr>
      <w:r>
        <w:rPr>
          <w:rFonts w:hint="eastAsia" w:ascii="宋体" w:hAnsi="宋体" w:cs="宋体"/>
          <w:szCs w:val="21"/>
          <w:highlight w:val="none"/>
        </w:rPr>
        <w:t>本</w:t>
      </w:r>
      <w:r>
        <w:rPr>
          <w:rFonts w:hint="eastAsia" w:ascii="宋体" w:hAnsi="宋体" w:cs="宋体"/>
          <w:szCs w:val="21"/>
          <w:highlight w:val="none"/>
          <w:lang w:val="en-US" w:eastAsia="zh-CN"/>
        </w:rPr>
        <w:t>规范</w:t>
      </w:r>
      <w:r>
        <w:rPr>
          <w:rFonts w:hint="eastAsia" w:ascii="宋体" w:hAnsi="宋体" w:cs="宋体"/>
          <w:szCs w:val="21"/>
          <w:highlight w:val="none"/>
        </w:rPr>
        <w:t>由中国石油和化工勘察设计协会负责管理，主编单位是建华建材（中国）有限公司，参编单位是中国寰球工程有限公司北京分公司</w:t>
      </w:r>
      <w:r>
        <w:rPr>
          <w:rFonts w:hint="eastAsia" w:ascii="宋体" w:hAnsi="宋体" w:cs="宋体"/>
          <w:szCs w:val="21"/>
          <w:highlight w:val="none"/>
          <w:lang w:eastAsia="zh-CN"/>
        </w:rPr>
        <w:t>、</w:t>
      </w:r>
      <w:r>
        <w:rPr>
          <w:rFonts w:hint="eastAsia" w:ascii="宋体" w:hAnsi="宋体" w:cs="宋体"/>
          <w:szCs w:val="21"/>
          <w:highlight w:val="none"/>
        </w:rPr>
        <w:t>华陆工程科技有限责任公司</w:t>
      </w:r>
      <w:r>
        <w:rPr>
          <w:rFonts w:hint="eastAsia" w:ascii="宋体" w:hAnsi="宋体" w:cs="宋体"/>
          <w:szCs w:val="21"/>
          <w:highlight w:val="none"/>
          <w:lang w:eastAsia="zh-CN"/>
        </w:rPr>
        <w:t>、</w:t>
      </w:r>
      <w:r>
        <w:rPr>
          <w:rFonts w:hint="eastAsia" w:ascii="宋体" w:hAnsi="宋体" w:cs="宋体"/>
          <w:szCs w:val="21"/>
          <w:highlight w:val="none"/>
        </w:rPr>
        <w:t>中国五环工程有限公司</w:t>
      </w:r>
      <w:r>
        <w:rPr>
          <w:rFonts w:hint="eastAsia" w:ascii="宋体" w:hAnsi="宋体" w:cs="宋体"/>
          <w:szCs w:val="21"/>
          <w:highlight w:val="none"/>
          <w:lang w:eastAsia="zh-CN"/>
        </w:rPr>
        <w:t>、</w:t>
      </w:r>
      <w:r>
        <w:rPr>
          <w:rFonts w:hint="eastAsia" w:ascii="宋体" w:hAnsi="宋体" w:cs="宋体"/>
          <w:szCs w:val="21"/>
          <w:highlight w:val="none"/>
        </w:rPr>
        <w:t>中国天辰工程有限公司</w:t>
      </w:r>
      <w:r>
        <w:rPr>
          <w:rFonts w:hint="eastAsia" w:ascii="宋体" w:hAnsi="宋体" w:cs="宋体"/>
          <w:szCs w:val="21"/>
          <w:highlight w:val="none"/>
          <w:lang w:eastAsia="zh-CN"/>
        </w:rPr>
        <w:t>、</w:t>
      </w:r>
      <w:r>
        <w:rPr>
          <w:rFonts w:hint="eastAsia" w:ascii="宋体" w:hAnsi="宋体" w:cs="宋体"/>
          <w:szCs w:val="21"/>
          <w:highlight w:val="none"/>
        </w:rPr>
        <w:t>北京中岩大地科技股份有限公司</w:t>
      </w:r>
      <w:r>
        <w:rPr>
          <w:rFonts w:hint="eastAsia" w:ascii="宋体" w:hAnsi="宋体" w:cs="宋体"/>
          <w:szCs w:val="21"/>
          <w:highlight w:val="none"/>
          <w:lang w:eastAsia="zh-CN"/>
        </w:rPr>
        <w:t>、</w:t>
      </w:r>
      <w:r>
        <w:rPr>
          <w:rFonts w:hint="eastAsia" w:ascii="宋体" w:hAnsi="宋体" w:cs="宋体"/>
          <w:szCs w:val="21"/>
          <w:highlight w:val="none"/>
        </w:rPr>
        <w:t>中国石化工程建设有限公司</w:t>
      </w:r>
      <w:r>
        <w:rPr>
          <w:rFonts w:hint="eastAsia" w:ascii="宋体" w:hAnsi="宋体" w:cs="宋体"/>
          <w:szCs w:val="21"/>
          <w:highlight w:val="none"/>
          <w:lang w:eastAsia="zh-CN"/>
        </w:rPr>
        <w:t>、</w:t>
      </w:r>
      <w:r>
        <w:rPr>
          <w:rFonts w:hint="eastAsia" w:ascii="宋体" w:hAnsi="宋体" w:cs="宋体"/>
          <w:szCs w:val="21"/>
          <w:highlight w:val="none"/>
        </w:rPr>
        <w:t>中石化广州工程有限公司</w:t>
      </w:r>
      <w:r>
        <w:rPr>
          <w:rFonts w:hint="eastAsia" w:ascii="宋体" w:hAnsi="宋体" w:cs="宋体"/>
          <w:szCs w:val="21"/>
          <w:highlight w:val="none"/>
          <w:lang w:eastAsia="zh-CN"/>
        </w:rPr>
        <w:t>、</w:t>
      </w:r>
      <w:r>
        <w:rPr>
          <w:rFonts w:hint="eastAsia" w:ascii="宋体" w:hAnsi="宋体" w:cs="宋体"/>
          <w:szCs w:val="21"/>
          <w:highlight w:val="none"/>
        </w:rPr>
        <w:t>中石化上海工程有限公司</w:t>
      </w:r>
      <w:r>
        <w:rPr>
          <w:rFonts w:hint="eastAsia" w:ascii="宋体" w:hAnsi="宋体" w:cs="宋体"/>
          <w:szCs w:val="21"/>
          <w:highlight w:val="none"/>
          <w:lang w:eastAsia="zh-CN"/>
        </w:rPr>
        <w:t>、</w:t>
      </w:r>
      <w:r>
        <w:rPr>
          <w:rFonts w:hint="eastAsia" w:ascii="宋体" w:hAnsi="宋体" w:cs="宋体"/>
          <w:szCs w:val="21"/>
          <w:highlight w:val="none"/>
        </w:rPr>
        <w:t>中石化宁波工程有限公司</w:t>
      </w:r>
      <w:r>
        <w:rPr>
          <w:rFonts w:hint="eastAsia" w:ascii="宋体" w:hAnsi="宋体" w:cs="宋体"/>
          <w:szCs w:val="21"/>
          <w:highlight w:val="none"/>
          <w:lang w:eastAsia="zh-CN"/>
        </w:rPr>
        <w:t>、</w:t>
      </w:r>
      <w:r>
        <w:rPr>
          <w:rFonts w:hint="eastAsia" w:ascii="宋体" w:hAnsi="宋体" w:cs="宋体"/>
          <w:szCs w:val="21"/>
          <w:highlight w:val="none"/>
        </w:rPr>
        <w:t>中国成达工程有限公司</w:t>
      </w:r>
      <w:r>
        <w:rPr>
          <w:rFonts w:hint="eastAsia" w:ascii="宋体" w:hAnsi="宋体" w:cs="宋体"/>
          <w:szCs w:val="21"/>
          <w:highlight w:val="none"/>
          <w:lang w:eastAsia="zh-CN"/>
        </w:rPr>
        <w:t>、</w:t>
      </w:r>
      <w:r>
        <w:rPr>
          <w:rFonts w:hint="eastAsia" w:ascii="宋体" w:hAnsi="宋体" w:cs="宋体"/>
          <w:szCs w:val="21"/>
          <w:highlight w:val="none"/>
        </w:rPr>
        <w:t>赛鼎工程有限公司</w:t>
      </w:r>
      <w:r>
        <w:rPr>
          <w:rFonts w:hint="eastAsia" w:ascii="宋体" w:hAnsi="宋体" w:cs="宋体"/>
          <w:szCs w:val="21"/>
          <w:highlight w:val="none"/>
          <w:lang w:eastAsia="zh-CN"/>
        </w:rPr>
        <w:t>、</w:t>
      </w:r>
      <w:r>
        <w:rPr>
          <w:rFonts w:hint="eastAsia" w:ascii="宋体" w:hAnsi="宋体" w:cs="宋体"/>
          <w:szCs w:val="21"/>
          <w:highlight w:val="none"/>
        </w:rPr>
        <w:t>浙江省岩土基础有限公司</w:t>
      </w:r>
      <w:r>
        <w:rPr>
          <w:rFonts w:hint="eastAsia" w:ascii="宋体" w:hAnsi="宋体" w:cs="宋体"/>
          <w:szCs w:val="21"/>
          <w:highlight w:val="none"/>
          <w:lang w:eastAsia="zh-CN"/>
        </w:rPr>
        <w:t>、</w:t>
      </w:r>
      <w:r>
        <w:rPr>
          <w:rFonts w:hint="eastAsia" w:ascii="宋体" w:hAnsi="宋体" w:cs="宋体"/>
          <w:szCs w:val="21"/>
          <w:highlight w:val="none"/>
        </w:rPr>
        <w:t>东华工程科技股份有限公司</w:t>
      </w:r>
      <w:r>
        <w:rPr>
          <w:rFonts w:hint="eastAsia" w:ascii="宋体" w:hAnsi="宋体" w:cs="宋体"/>
          <w:szCs w:val="21"/>
          <w:highlight w:val="none"/>
          <w:lang w:eastAsia="zh-CN"/>
        </w:rPr>
        <w:t>、</w:t>
      </w:r>
      <w:r>
        <w:rPr>
          <w:rFonts w:hint="eastAsia" w:ascii="宋体" w:hAnsi="宋体" w:cs="宋体"/>
          <w:szCs w:val="21"/>
          <w:highlight w:val="none"/>
        </w:rPr>
        <w:t>中国化学赛鼎宁波工程有限公司</w:t>
      </w:r>
      <w:r>
        <w:rPr>
          <w:rFonts w:hint="eastAsia" w:ascii="宋体" w:hAnsi="宋体" w:cs="宋体"/>
          <w:szCs w:val="21"/>
          <w:highlight w:val="none"/>
          <w:lang w:eastAsia="zh-CN"/>
        </w:rPr>
        <w:t>、</w:t>
      </w:r>
      <w:r>
        <w:rPr>
          <w:rFonts w:hint="eastAsia" w:ascii="宋体" w:hAnsi="宋体" w:cs="宋体"/>
          <w:szCs w:val="21"/>
          <w:highlight w:val="none"/>
        </w:rPr>
        <w:t>上海寰球工程有限公司</w:t>
      </w:r>
      <w:r>
        <w:rPr>
          <w:rFonts w:hint="eastAsia" w:ascii="宋体" w:hAnsi="宋体" w:cs="宋体"/>
          <w:szCs w:val="21"/>
          <w:highlight w:val="none"/>
          <w:lang w:eastAsia="zh-CN"/>
        </w:rPr>
        <w:t>、</w:t>
      </w:r>
      <w:r>
        <w:rPr>
          <w:rFonts w:hint="eastAsia" w:ascii="宋体" w:hAnsi="宋体" w:cs="宋体"/>
          <w:szCs w:val="21"/>
          <w:highlight w:val="none"/>
        </w:rPr>
        <w:t>中石油华东设计院有限公司</w:t>
      </w:r>
      <w:r>
        <w:rPr>
          <w:rFonts w:hint="eastAsia" w:ascii="宋体" w:hAnsi="宋体" w:cs="宋体"/>
          <w:szCs w:val="21"/>
          <w:highlight w:val="none"/>
          <w:lang w:eastAsia="zh-CN"/>
        </w:rPr>
        <w:t>、</w:t>
      </w:r>
      <w:r>
        <w:rPr>
          <w:rFonts w:hint="eastAsia" w:ascii="宋体" w:hAnsi="宋体" w:cs="宋体"/>
          <w:szCs w:val="21"/>
          <w:highlight w:val="none"/>
        </w:rPr>
        <w:t>中海油石化工程有限公司</w:t>
      </w:r>
      <w:r>
        <w:rPr>
          <w:rFonts w:hint="eastAsia" w:ascii="宋体" w:hAnsi="宋体" w:cs="宋体"/>
          <w:szCs w:val="21"/>
          <w:highlight w:val="none"/>
          <w:lang w:eastAsia="zh-CN"/>
        </w:rPr>
        <w:t>、</w:t>
      </w:r>
      <w:r>
        <w:rPr>
          <w:rFonts w:hint="eastAsia" w:ascii="宋体" w:hAnsi="宋体" w:cs="宋体"/>
          <w:szCs w:val="21"/>
          <w:highlight w:val="none"/>
        </w:rPr>
        <w:t>浙江石油化工有限公司</w:t>
      </w:r>
      <w:r>
        <w:rPr>
          <w:rFonts w:hint="eastAsia" w:ascii="宋体" w:hAnsi="宋体" w:cs="宋体"/>
          <w:szCs w:val="21"/>
          <w:highlight w:val="none"/>
          <w:lang w:eastAsia="zh-CN"/>
        </w:rPr>
        <w:t>、</w:t>
      </w:r>
      <w:r>
        <w:rPr>
          <w:rFonts w:hint="eastAsia" w:ascii="宋体" w:hAnsi="宋体" w:cs="宋体"/>
          <w:szCs w:val="21"/>
          <w:highlight w:val="none"/>
        </w:rPr>
        <w:t>中国化学工程第三建设有限公司</w:t>
      </w:r>
      <w:r>
        <w:rPr>
          <w:rFonts w:hint="eastAsia" w:ascii="宋体" w:hAnsi="宋体" w:cs="宋体"/>
          <w:szCs w:val="21"/>
          <w:highlight w:val="none"/>
          <w:lang w:eastAsia="zh-CN"/>
        </w:rPr>
        <w:t>、</w:t>
      </w:r>
      <w:r>
        <w:rPr>
          <w:rFonts w:hint="eastAsia" w:ascii="宋体" w:hAnsi="宋体" w:cs="宋体"/>
          <w:szCs w:val="21"/>
          <w:highlight w:val="none"/>
        </w:rPr>
        <w:t>化学工业第一勘察设计院有限公司</w:t>
      </w:r>
      <w:r>
        <w:rPr>
          <w:rFonts w:hint="eastAsia" w:ascii="宋体" w:hAnsi="宋体" w:cs="宋体"/>
          <w:szCs w:val="21"/>
          <w:highlight w:val="none"/>
          <w:lang w:eastAsia="zh-CN"/>
        </w:rPr>
        <w:t>、</w:t>
      </w:r>
      <w:r>
        <w:rPr>
          <w:rFonts w:hint="eastAsia" w:ascii="宋体" w:hAnsi="宋体" w:cs="宋体"/>
          <w:szCs w:val="21"/>
          <w:highlight w:val="none"/>
        </w:rPr>
        <w:t>国家管网集团工程技术创新有限公司</w:t>
      </w:r>
      <w:r>
        <w:rPr>
          <w:rFonts w:hint="eastAsia" w:ascii="宋体" w:hAnsi="宋体" w:cs="宋体"/>
          <w:szCs w:val="21"/>
          <w:highlight w:val="none"/>
          <w:lang w:eastAsia="zh-CN"/>
        </w:rPr>
        <w:t>、</w:t>
      </w:r>
      <w:r>
        <w:rPr>
          <w:rFonts w:hint="eastAsia" w:ascii="宋体" w:hAnsi="宋体" w:cs="宋体"/>
          <w:szCs w:val="21"/>
          <w:highlight w:val="none"/>
        </w:rPr>
        <w:t>中石化南京工程有限公司</w:t>
      </w:r>
      <w:r>
        <w:rPr>
          <w:rFonts w:hint="eastAsia" w:ascii="宋体" w:hAnsi="宋体" w:cs="宋体"/>
          <w:szCs w:val="21"/>
          <w:highlight w:val="none"/>
          <w:lang w:eastAsia="zh-CN"/>
        </w:rPr>
        <w:t>、</w:t>
      </w:r>
      <w:r>
        <w:rPr>
          <w:rFonts w:hint="eastAsia" w:ascii="宋体" w:hAnsi="宋体" w:cs="宋体"/>
          <w:szCs w:val="21"/>
          <w:highlight w:val="none"/>
        </w:rPr>
        <w:t>北京石油化工工程有限公司</w:t>
      </w:r>
      <w:r>
        <w:rPr>
          <w:rFonts w:hint="eastAsia" w:ascii="宋体" w:hAnsi="宋体" w:cs="宋体"/>
          <w:szCs w:val="21"/>
          <w:highlight w:val="none"/>
          <w:lang w:eastAsia="zh-CN"/>
        </w:rPr>
        <w:t>、</w:t>
      </w:r>
      <w:r>
        <w:rPr>
          <w:rFonts w:hint="eastAsia" w:ascii="宋体" w:hAnsi="宋体" w:cs="宋体"/>
          <w:szCs w:val="21"/>
          <w:highlight w:val="none"/>
        </w:rPr>
        <w:t>中化岩土集团股份有限公司</w:t>
      </w:r>
      <w:r>
        <w:rPr>
          <w:rFonts w:hint="eastAsia" w:ascii="宋体" w:hAnsi="宋体" w:cs="宋体"/>
          <w:szCs w:val="21"/>
          <w:highlight w:val="none"/>
          <w:lang w:eastAsia="zh-CN"/>
        </w:rPr>
        <w:t>、</w:t>
      </w:r>
      <w:r>
        <w:rPr>
          <w:rFonts w:hint="eastAsia" w:ascii="宋体" w:hAnsi="宋体" w:cs="宋体"/>
          <w:szCs w:val="21"/>
          <w:highlight w:val="none"/>
        </w:rPr>
        <w:t>海南大学</w:t>
      </w:r>
      <w:r>
        <w:rPr>
          <w:rFonts w:hint="eastAsia" w:ascii="宋体" w:hAnsi="宋体" w:cs="宋体"/>
          <w:szCs w:val="21"/>
          <w:highlight w:val="none"/>
          <w:lang w:eastAsia="zh-CN"/>
        </w:rPr>
        <w:t>、</w:t>
      </w:r>
      <w:r>
        <w:rPr>
          <w:rFonts w:hint="eastAsia" w:ascii="宋体" w:hAnsi="宋体" w:cs="宋体"/>
          <w:szCs w:val="21"/>
          <w:highlight w:val="none"/>
        </w:rPr>
        <w:t>建华建材（天津）有限公司</w:t>
      </w:r>
      <w:r>
        <w:rPr>
          <w:rFonts w:hint="eastAsia" w:ascii="宋体" w:hAnsi="宋体" w:cs="宋体"/>
          <w:szCs w:val="21"/>
          <w:highlight w:val="none"/>
          <w:lang w:eastAsia="zh-CN"/>
        </w:rPr>
        <w:t>、</w:t>
      </w:r>
      <w:r>
        <w:rPr>
          <w:rFonts w:hint="eastAsia" w:ascii="宋体" w:hAnsi="宋体" w:cs="宋体"/>
          <w:szCs w:val="21"/>
          <w:highlight w:val="none"/>
        </w:rPr>
        <w:t>建华建材（阳江）有限公司。主要起草人是</w:t>
      </w:r>
      <w:r>
        <w:rPr>
          <w:rFonts w:hint="eastAsia" w:ascii="宋体" w:hAnsi="宋体" w:cs="宋体"/>
          <w:szCs w:val="21"/>
          <w:highlight w:val="none"/>
          <w:lang w:eastAsia="zh-CN"/>
        </w:rPr>
        <w:t>毛由田、姚国明、柳景虹、金忠良、刘振华、</w:t>
      </w:r>
      <w:bookmarkStart w:id="392" w:name="_GoBack"/>
      <w:bookmarkEnd w:id="392"/>
      <w:r>
        <w:rPr>
          <w:rFonts w:hint="eastAsia" w:ascii="宋体" w:hAnsi="宋体" w:cs="宋体"/>
          <w:szCs w:val="21"/>
          <w:highlight w:val="none"/>
          <w:lang w:eastAsia="zh-CN"/>
        </w:rPr>
        <w:t>宋伟杰、李先顺、邱道军、张毅斌、刘琪、王志彤、史恒通、万朝梅、耿志光、杨豪、王利、童中明、李强、王利、王爱兵、蒋晓锋、古育平、高剑、甄军、余建飞、陈云生、赵勇、张雨生、王群伟、李晟源、蒋超、余晓锋、张亚新、陈迪、吴红利、高斌峰、姜晨玉、刘占强、程书昌、王永卫、胡俊、许鹏展、夏庆鹏</w:t>
      </w:r>
      <w:r>
        <w:rPr>
          <w:rFonts w:hint="eastAsia" w:ascii="宋体" w:hAnsi="宋体" w:cs="宋体"/>
          <w:szCs w:val="21"/>
          <w:highlight w:val="none"/>
        </w:rPr>
        <w:t>。</w:t>
      </w:r>
    </w:p>
    <w:p w14:paraId="03E73F25">
      <w:pPr>
        <w:widowControl/>
        <w:spacing w:line="360" w:lineRule="auto"/>
        <w:ind w:firstLine="420" w:firstLineChars="200"/>
        <w:rPr>
          <w:rFonts w:ascii="Times New Roman" w:hAnsi="Times New Roman" w:cs="宋体"/>
          <w:bCs/>
          <w:kern w:val="0"/>
          <w:szCs w:val="21"/>
          <w:highlight w:val="none"/>
        </w:rPr>
      </w:pPr>
      <w:r>
        <w:rPr>
          <w:rFonts w:hint="eastAsia" w:ascii="Times New Roman" w:hAnsi="Times New Roman" w:cs="宋体"/>
          <w:bCs/>
          <w:kern w:val="0"/>
          <w:szCs w:val="21"/>
          <w:highlight w:val="none"/>
        </w:rPr>
        <w:t>本</w:t>
      </w:r>
      <w:r>
        <w:rPr>
          <w:rFonts w:hint="eastAsia" w:ascii="Times New Roman" w:hAnsi="Times New Roman" w:cs="宋体"/>
          <w:bCs/>
          <w:kern w:val="0"/>
          <w:szCs w:val="21"/>
          <w:highlight w:val="none"/>
          <w:lang w:val="en-US" w:eastAsia="zh-CN"/>
        </w:rPr>
        <w:t>规范</w:t>
      </w:r>
      <w:r>
        <w:rPr>
          <w:rFonts w:hint="eastAsia" w:ascii="宋体" w:hAnsi="宋体" w:cs="宋体"/>
          <w:szCs w:val="21"/>
          <w:highlight w:val="none"/>
        </w:rPr>
        <w:t>在</w:t>
      </w:r>
      <w:r>
        <w:rPr>
          <w:rFonts w:hint="eastAsia" w:ascii="宋体" w:hAnsi="宋体" w:cs="宋体"/>
          <w:szCs w:val="21"/>
          <w:highlight w:val="none"/>
          <w:lang w:val="en-US" w:eastAsia="zh-CN"/>
        </w:rPr>
        <w:t>编制</w:t>
      </w:r>
      <w:r>
        <w:rPr>
          <w:rFonts w:hint="eastAsia" w:ascii="宋体" w:hAnsi="宋体" w:cs="宋体"/>
          <w:szCs w:val="21"/>
          <w:highlight w:val="none"/>
        </w:rPr>
        <w:t>过程中，</w:t>
      </w:r>
      <w:r>
        <w:rPr>
          <w:rFonts w:hint="eastAsia" w:ascii="宋体" w:hAnsi="宋体" w:cs="宋体"/>
          <w:szCs w:val="21"/>
          <w:highlight w:val="none"/>
          <w:lang w:val="en-US" w:eastAsia="zh-CN"/>
        </w:rPr>
        <w:t>规范</w:t>
      </w:r>
      <w:r>
        <w:rPr>
          <w:rFonts w:hint="eastAsia" w:ascii="宋体" w:hAnsi="宋体" w:cs="宋体"/>
          <w:szCs w:val="21"/>
          <w:highlight w:val="none"/>
        </w:rPr>
        <w:t>编制组遵循科学、实用和可行的原则，以全国范围内已实施的数十项工程建设经验为基础，结合现有的预制桩植桩技术相关规范和国内外充分的调研论证，为满足预制桩植桩技术在石油化工行业有序推广应用的</w:t>
      </w:r>
      <w:r>
        <w:rPr>
          <w:rFonts w:hint="eastAsia" w:ascii="宋体" w:hAnsi="宋体" w:cs="宋体"/>
          <w:szCs w:val="21"/>
          <w:highlight w:val="none"/>
          <w:lang w:val="en-US" w:eastAsia="zh-CN"/>
        </w:rPr>
        <w:t>要求</w:t>
      </w:r>
      <w:r>
        <w:rPr>
          <w:rFonts w:hint="eastAsia" w:ascii="宋体" w:hAnsi="宋体" w:cs="宋体"/>
          <w:szCs w:val="21"/>
          <w:highlight w:val="none"/>
        </w:rPr>
        <w:t>，经过不断总结、修正、提炼，形成了与预制桩植桩技术相关，包含设计、施工、质量检测及验收等全流程的技术规范。</w:t>
      </w:r>
    </w:p>
    <w:p w14:paraId="42DF291C">
      <w:pPr>
        <w:widowControl/>
        <w:spacing w:line="360" w:lineRule="auto"/>
        <w:ind w:firstLine="420" w:firstLineChars="200"/>
        <w:rPr>
          <w:bCs/>
          <w:szCs w:val="21"/>
          <w:highlight w:val="none"/>
        </w:rPr>
      </w:pPr>
      <w:r>
        <w:rPr>
          <w:rFonts w:hint="eastAsia" w:ascii="Times New Roman" w:hAnsi="Times New Roman" w:cs="宋体"/>
          <w:bCs/>
          <w:kern w:val="0"/>
          <w:szCs w:val="21"/>
          <w:highlight w:val="none"/>
        </w:rPr>
        <w:t>为了便于广大设计、施工、</w:t>
      </w:r>
      <w:r>
        <w:rPr>
          <w:rFonts w:hint="eastAsia" w:ascii="Times New Roman" w:hAnsi="Times New Roman" w:cs="宋体"/>
          <w:bCs/>
          <w:kern w:val="0"/>
          <w:szCs w:val="21"/>
          <w:highlight w:val="none"/>
          <w:lang w:val="en-US" w:eastAsia="zh-CN"/>
        </w:rPr>
        <w:t>检测</w:t>
      </w:r>
      <w:r>
        <w:rPr>
          <w:rFonts w:hint="eastAsia" w:ascii="Times New Roman" w:hAnsi="Times New Roman" w:cs="宋体"/>
          <w:bCs/>
          <w:kern w:val="0"/>
          <w:szCs w:val="21"/>
          <w:highlight w:val="none"/>
        </w:rPr>
        <w:t>、监理等单位有关人员在使用本</w:t>
      </w:r>
      <w:r>
        <w:rPr>
          <w:rFonts w:hint="eastAsia" w:ascii="Times New Roman" w:hAnsi="Times New Roman" w:cs="宋体"/>
          <w:bCs/>
          <w:kern w:val="0"/>
          <w:szCs w:val="21"/>
          <w:highlight w:val="none"/>
          <w:lang w:val="en-US" w:eastAsia="zh-CN"/>
        </w:rPr>
        <w:t>规范</w:t>
      </w:r>
      <w:r>
        <w:rPr>
          <w:rFonts w:hint="eastAsia" w:ascii="Times New Roman" w:hAnsi="Times New Roman" w:cs="宋体"/>
          <w:bCs/>
          <w:kern w:val="0"/>
          <w:szCs w:val="21"/>
          <w:highlight w:val="none"/>
        </w:rPr>
        <w:t>时能正确理解和执行条文规定，《</w:t>
      </w:r>
      <w:r>
        <w:rPr>
          <w:rFonts w:hint="eastAsia" w:ascii="Times New Roman" w:hAnsi="Times New Roman" w:cs="宋体"/>
          <w:bCs/>
          <w:kern w:val="0"/>
          <w:szCs w:val="21"/>
          <w:highlight w:val="none"/>
          <w:lang w:val="en-US" w:eastAsia="zh-CN"/>
        </w:rPr>
        <w:t>预制桩植桩应该技术规范</w:t>
      </w:r>
      <w:r>
        <w:rPr>
          <w:rFonts w:hint="eastAsia" w:ascii="Times New Roman" w:hAnsi="Times New Roman" w:cs="宋体"/>
          <w:bCs/>
          <w:kern w:val="0"/>
          <w:szCs w:val="21"/>
          <w:highlight w:val="none"/>
        </w:rPr>
        <w:t>》编制组按章、节、条顺序编制了本</w:t>
      </w:r>
      <w:r>
        <w:rPr>
          <w:rFonts w:hint="eastAsia" w:ascii="Times New Roman" w:hAnsi="Times New Roman" w:cs="宋体"/>
          <w:bCs/>
          <w:kern w:val="0"/>
          <w:szCs w:val="21"/>
          <w:highlight w:val="none"/>
          <w:lang w:val="en-US" w:eastAsia="zh-CN"/>
        </w:rPr>
        <w:t>规范</w:t>
      </w:r>
      <w:r>
        <w:rPr>
          <w:rFonts w:hint="eastAsia" w:ascii="Times New Roman" w:hAnsi="Times New Roman" w:cs="宋体"/>
          <w:bCs/>
          <w:kern w:val="0"/>
          <w:szCs w:val="21"/>
          <w:highlight w:val="none"/>
        </w:rPr>
        <w:t>的条文说明，对条文规定的目的、依据以及执行过程中需注意的有关事项进行了说明。但是，本条文说明不具备与</w:t>
      </w:r>
      <w:r>
        <w:rPr>
          <w:rFonts w:hint="eastAsia" w:ascii="Times New Roman" w:hAnsi="Times New Roman" w:cs="宋体"/>
          <w:bCs/>
          <w:kern w:val="0"/>
          <w:szCs w:val="21"/>
          <w:highlight w:val="none"/>
          <w:lang w:val="en-US" w:eastAsia="zh-CN"/>
        </w:rPr>
        <w:t>规范</w:t>
      </w:r>
      <w:r>
        <w:rPr>
          <w:rFonts w:hint="eastAsia" w:ascii="Times New Roman" w:hAnsi="Times New Roman" w:cs="宋体"/>
          <w:bCs/>
          <w:kern w:val="0"/>
          <w:szCs w:val="21"/>
          <w:highlight w:val="none"/>
        </w:rPr>
        <w:t>正文同等的法律效力，仅供使用者作为理解和把握</w:t>
      </w:r>
      <w:r>
        <w:rPr>
          <w:rFonts w:hint="eastAsia" w:ascii="Times New Roman" w:hAnsi="Times New Roman" w:cs="宋体"/>
          <w:bCs/>
          <w:kern w:val="0"/>
          <w:szCs w:val="21"/>
          <w:highlight w:val="none"/>
          <w:lang w:val="en-US" w:eastAsia="zh-CN"/>
        </w:rPr>
        <w:t>规范</w:t>
      </w:r>
      <w:r>
        <w:rPr>
          <w:rFonts w:hint="eastAsia" w:ascii="Times New Roman" w:hAnsi="Times New Roman" w:cs="宋体"/>
          <w:bCs/>
          <w:kern w:val="0"/>
          <w:szCs w:val="21"/>
          <w:highlight w:val="none"/>
        </w:rPr>
        <w:t>规定的参考。</w:t>
      </w:r>
    </w:p>
    <w:p w14:paraId="770C48CE">
      <w:pPr>
        <w:rPr>
          <w:highlight w:val="none"/>
        </w:rPr>
        <w:sectPr>
          <w:footerReference r:id="rId6" w:type="default"/>
          <w:pgSz w:w="7938" w:h="11510"/>
          <w:pgMar w:top="1418" w:right="1021" w:bottom="1134" w:left="1021" w:header="851" w:footer="851" w:gutter="0"/>
          <w:pgBorders>
            <w:top w:val="none" w:sz="0" w:space="0"/>
            <w:left w:val="none" w:sz="0" w:space="0"/>
            <w:bottom w:val="none" w:sz="0" w:space="0"/>
            <w:right w:val="none" w:sz="0" w:space="0"/>
          </w:pgBorders>
          <w:cols w:space="720" w:num="1"/>
          <w:docGrid w:type="lines" w:linePitch="312" w:charSpace="0"/>
        </w:sectPr>
      </w:pPr>
    </w:p>
    <w:p w14:paraId="77AD7FED">
      <w:pPr>
        <w:spacing w:before="156" w:beforeLines="50" w:after="156" w:afterLines="50" w:line="312" w:lineRule="exact"/>
        <w:jc w:val="center"/>
        <w:rPr>
          <w:rFonts w:ascii="宋体" w:hAnsi="宋体" w:cs="宋体"/>
          <w:b/>
          <w:bCs/>
          <w:sz w:val="28"/>
          <w:szCs w:val="32"/>
          <w:highlight w:val="none"/>
        </w:rPr>
      </w:pPr>
      <w:r>
        <w:rPr>
          <w:rFonts w:hint="eastAsia" w:ascii="宋体" w:hAnsi="宋体" w:cs="宋体"/>
          <w:b/>
          <w:bCs/>
          <w:sz w:val="28"/>
          <w:szCs w:val="32"/>
          <w:highlight w:val="none"/>
        </w:rPr>
        <w:t>目  次</w:t>
      </w:r>
    </w:p>
    <w:p w14:paraId="74BCB408">
      <w:pPr>
        <w:pStyle w:val="30"/>
        <w:keepNext w:val="0"/>
        <w:keepLines w:val="0"/>
        <w:pageBreakBefore w:val="0"/>
        <w:tabs>
          <w:tab w:val="right" w:leader="dot" w:pos="5896"/>
          <w:tab w:val="clear" w:pos="5886"/>
        </w:tabs>
        <w:kinsoku/>
        <w:wordWrap/>
        <w:overflowPunct/>
        <w:topLinePunct w:val="0"/>
        <w:autoSpaceDE/>
        <w:autoSpaceDN/>
        <w:bidi w:val="0"/>
        <w:adjustRightInd/>
        <w:snapToGrid/>
        <w:spacing w:line="240" w:lineRule="exact"/>
        <w:textAlignment w:val="auto"/>
      </w:pPr>
      <w:bookmarkStart w:id="196" w:name="_Toc690"/>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_Toc19153 </w:instrText>
      </w:r>
      <w:r>
        <w:rPr>
          <w:rFonts w:hint="eastAsia" w:ascii="宋体" w:hAnsi="宋体" w:cs="宋体"/>
          <w:szCs w:val="21"/>
          <w:highlight w:val="none"/>
        </w:rPr>
        <w:fldChar w:fldCharType="separate"/>
      </w:r>
      <w:r>
        <w:rPr>
          <w:rFonts w:hint="default" w:ascii="Times New Roman" w:hAnsi="Times New Roman" w:cs="Times New Roman"/>
          <w:highlight w:val="none"/>
        </w:rPr>
        <w:t xml:space="preserve">1 </w:t>
      </w:r>
      <w:r>
        <w:rPr>
          <w:rFonts w:hint="eastAsia"/>
          <w:highlight w:val="none"/>
        </w:rPr>
        <w:t>总  则</w:t>
      </w:r>
      <w:r>
        <w:tab/>
      </w:r>
      <w:r>
        <w:fldChar w:fldCharType="begin"/>
      </w:r>
      <w:r>
        <w:instrText xml:space="preserve"> PAGEREF _Toc19153 \h </w:instrText>
      </w:r>
      <w:r>
        <w:fldChar w:fldCharType="separate"/>
      </w:r>
      <w:r>
        <w:t>50</w:t>
      </w:r>
      <w:r>
        <w:fldChar w:fldCharType="end"/>
      </w:r>
      <w:r>
        <w:rPr>
          <w:rFonts w:hint="eastAsia" w:ascii="宋体" w:hAnsi="宋体" w:cs="宋体"/>
          <w:szCs w:val="21"/>
          <w:highlight w:val="none"/>
        </w:rPr>
        <w:fldChar w:fldCharType="end"/>
      </w:r>
    </w:p>
    <w:p w14:paraId="31BF9719">
      <w:pPr>
        <w:pStyle w:val="30"/>
        <w:keepNext w:val="0"/>
        <w:keepLines w:val="0"/>
        <w:pageBreakBefore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_Toc318 </w:instrText>
      </w:r>
      <w:r>
        <w:rPr>
          <w:rFonts w:hint="eastAsia" w:ascii="宋体" w:hAnsi="宋体" w:cs="宋体"/>
          <w:szCs w:val="21"/>
          <w:highlight w:val="none"/>
        </w:rPr>
        <w:fldChar w:fldCharType="separate"/>
      </w:r>
      <w:r>
        <w:rPr>
          <w:rFonts w:hint="default" w:ascii="Times New Roman" w:hAnsi="Times New Roman" w:cs="Times New Roman"/>
          <w:highlight w:val="none"/>
        </w:rPr>
        <w:t xml:space="preserve">2 </w:t>
      </w:r>
      <w:r>
        <w:rPr>
          <w:rFonts w:hint="eastAsia"/>
          <w:highlight w:val="none"/>
        </w:rPr>
        <w:t>术语和符号</w:t>
      </w:r>
      <w:r>
        <w:tab/>
      </w:r>
      <w:r>
        <w:fldChar w:fldCharType="begin"/>
      </w:r>
      <w:r>
        <w:instrText xml:space="preserve"> PAGEREF _Toc318 \h </w:instrText>
      </w:r>
      <w:r>
        <w:fldChar w:fldCharType="separate"/>
      </w:r>
      <w:r>
        <w:t>51</w:t>
      </w:r>
      <w:r>
        <w:fldChar w:fldCharType="end"/>
      </w:r>
      <w:r>
        <w:rPr>
          <w:rFonts w:hint="eastAsia" w:ascii="宋体" w:hAnsi="宋体" w:cs="宋体"/>
          <w:szCs w:val="21"/>
          <w:highlight w:val="none"/>
        </w:rPr>
        <w:fldChar w:fldCharType="end"/>
      </w:r>
    </w:p>
    <w:p w14:paraId="64821B2C">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_Toc27205 </w:instrText>
      </w:r>
      <w:r>
        <w:rPr>
          <w:rFonts w:hint="eastAsia" w:ascii="宋体" w:hAnsi="宋体" w:cs="宋体"/>
          <w:szCs w:val="21"/>
          <w:highlight w:val="none"/>
        </w:rPr>
        <w:fldChar w:fldCharType="separate"/>
      </w:r>
      <w:r>
        <w:rPr>
          <w:rFonts w:hint="default" w:ascii="Times New Roman" w:hAnsi="Times New Roman" w:cs="Times New Roman"/>
          <w:highlight w:val="none"/>
        </w:rPr>
        <w:t>2.1</w:t>
      </w:r>
      <w:r>
        <w:rPr>
          <w:rFonts w:hint="eastAsia" w:ascii="Times New Roman" w:hAnsi="Times New Roman" w:cs="Times New Roman"/>
          <w:highlight w:val="none"/>
        </w:rPr>
        <w:t xml:space="preserve">  </w:t>
      </w:r>
      <w:r>
        <w:rPr>
          <w:rFonts w:hint="eastAsia" w:ascii="黑体" w:hAnsi="黑体"/>
          <w:highlight w:val="none"/>
        </w:rPr>
        <w:t>术  语</w:t>
      </w:r>
      <w:r>
        <w:tab/>
      </w:r>
      <w:r>
        <w:fldChar w:fldCharType="begin"/>
      </w:r>
      <w:r>
        <w:instrText xml:space="preserve"> PAGEREF _Toc27205 \h </w:instrText>
      </w:r>
      <w:r>
        <w:fldChar w:fldCharType="separate"/>
      </w:r>
      <w:r>
        <w:t>51</w:t>
      </w:r>
      <w:r>
        <w:fldChar w:fldCharType="end"/>
      </w:r>
      <w:r>
        <w:rPr>
          <w:rFonts w:hint="eastAsia" w:ascii="宋体" w:hAnsi="宋体" w:cs="宋体"/>
          <w:szCs w:val="21"/>
          <w:highlight w:val="none"/>
        </w:rPr>
        <w:fldChar w:fldCharType="end"/>
      </w:r>
    </w:p>
    <w:p w14:paraId="429AD95C">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_Toc25655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2.2  </w:t>
      </w:r>
      <w:r>
        <w:rPr>
          <w:rFonts w:hint="eastAsia" w:ascii="黑体" w:hAnsi="黑体"/>
          <w:highlight w:val="none"/>
        </w:rPr>
        <w:t>符  号</w:t>
      </w:r>
      <w:r>
        <w:tab/>
      </w:r>
      <w:r>
        <w:fldChar w:fldCharType="begin"/>
      </w:r>
      <w:r>
        <w:instrText xml:space="preserve"> PAGEREF _Toc25655 \h </w:instrText>
      </w:r>
      <w:r>
        <w:fldChar w:fldCharType="separate"/>
      </w:r>
      <w:r>
        <w:t>51</w:t>
      </w:r>
      <w:r>
        <w:fldChar w:fldCharType="end"/>
      </w:r>
      <w:r>
        <w:rPr>
          <w:rFonts w:hint="eastAsia" w:ascii="宋体" w:hAnsi="宋体" w:cs="宋体"/>
          <w:szCs w:val="21"/>
          <w:highlight w:val="none"/>
        </w:rPr>
        <w:fldChar w:fldCharType="end"/>
      </w:r>
    </w:p>
    <w:p w14:paraId="420C9229">
      <w:pPr>
        <w:pStyle w:val="30"/>
        <w:keepNext w:val="0"/>
        <w:keepLines w:val="0"/>
        <w:pageBreakBefore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_Toc2430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3 </w:t>
      </w:r>
      <w:r>
        <w:rPr>
          <w:rFonts w:hint="eastAsia"/>
          <w:highlight w:val="none"/>
        </w:rPr>
        <w:t>基本规定</w:t>
      </w:r>
      <w:r>
        <w:tab/>
      </w:r>
      <w:r>
        <w:fldChar w:fldCharType="begin"/>
      </w:r>
      <w:r>
        <w:instrText xml:space="preserve"> PAGEREF _Toc2430 \h </w:instrText>
      </w:r>
      <w:r>
        <w:fldChar w:fldCharType="separate"/>
      </w:r>
      <w:r>
        <w:t>52</w:t>
      </w:r>
      <w:r>
        <w:fldChar w:fldCharType="end"/>
      </w:r>
      <w:r>
        <w:rPr>
          <w:rFonts w:hint="eastAsia" w:ascii="宋体" w:hAnsi="宋体" w:cs="宋体"/>
          <w:szCs w:val="21"/>
          <w:highlight w:val="none"/>
        </w:rPr>
        <w:fldChar w:fldCharType="end"/>
      </w:r>
    </w:p>
    <w:p w14:paraId="53301A94">
      <w:pPr>
        <w:pStyle w:val="30"/>
        <w:keepNext w:val="0"/>
        <w:keepLines w:val="0"/>
        <w:pageBreakBefore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_Toc31815 </w:instrText>
      </w:r>
      <w:r>
        <w:rPr>
          <w:rFonts w:hint="eastAsia" w:ascii="宋体" w:hAnsi="宋体" w:cs="宋体"/>
          <w:szCs w:val="21"/>
          <w:highlight w:val="none"/>
        </w:rPr>
        <w:fldChar w:fldCharType="separate"/>
      </w:r>
      <w:r>
        <w:rPr>
          <w:rFonts w:hint="eastAsia" w:ascii="Times New Roman" w:hAnsi="Times New Roman" w:cs="Times New Roman"/>
          <w:highlight w:val="none"/>
          <w:lang w:val="en-US" w:eastAsia="zh-CN"/>
        </w:rPr>
        <w:t>4 设计</w:t>
      </w:r>
      <w:r>
        <w:tab/>
      </w:r>
      <w:r>
        <w:fldChar w:fldCharType="begin"/>
      </w:r>
      <w:r>
        <w:instrText xml:space="preserve"> PAGEREF _Toc31815 \h </w:instrText>
      </w:r>
      <w:r>
        <w:fldChar w:fldCharType="separate"/>
      </w:r>
      <w:r>
        <w:t>53</w:t>
      </w:r>
      <w:r>
        <w:fldChar w:fldCharType="end"/>
      </w:r>
      <w:r>
        <w:rPr>
          <w:rFonts w:hint="eastAsia" w:ascii="宋体" w:hAnsi="宋体" w:cs="宋体"/>
          <w:szCs w:val="21"/>
          <w:highlight w:val="none"/>
        </w:rPr>
        <w:fldChar w:fldCharType="end"/>
      </w:r>
    </w:p>
    <w:p w14:paraId="264CFCDB">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_Toc16297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4.1 </w:t>
      </w:r>
      <w:r>
        <w:rPr>
          <w:rFonts w:hint="eastAsia" w:ascii="黑体" w:hAnsi="黑体"/>
          <w:highlight w:val="none"/>
          <w:lang w:val="en-US" w:eastAsia="zh-CN"/>
        </w:rPr>
        <w:t>一般规定</w:t>
      </w:r>
      <w:r>
        <w:tab/>
      </w:r>
      <w:r>
        <w:fldChar w:fldCharType="begin"/>
      </w:r>
      <w:r>
        <w:instrText xml:space="preserve"> PAGEREF _Toc16297 \h </w:instrText>
      </w:r>
      <w:r>
        <w:fldChar w:fldCharType="separate"/>
      </w:r>
      <w:r>
        <w:t>53</w:t>
      </w:r>
      <w:r>
        <w:fldChar w:fldCharType="end"/>
      </w:r>
      <w:r>
        <w:rPr>
          <w:rFonts w:hint="eastAsia" w:ascii="宋体" w:hAnsi="宋体" w:cs="宋体"/>
          <w:szCs w:val="21"/>
          <w:highlight w:val="none"/>
        </w:rPr>
        <w:fldChar w:fldCharType="end"/>
      </w:r>
    </w:p>
    <w:p w14:paraId="1B0FB9DF">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_Toc1536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4.2 </w:t>
      </w:r>
      <w:r>
        <w:rPr>
          <w:rFonts w:hint="eastAsia" w:ascii="黑体" w:hAnsi="黑体"/>
          <w:highlight w:val="none"/>
          <w:lang w:val="en-US" w:eastAsia="zh-CN"/>
        </w:rPr>
        <w:t>选型和布置</w:t>
      </w:r>
      <w:r>
        <w:tab/>
      </w:r>
      <w:r>
        <w:fldChar w:fldCharType="begin"/>
      </w:r>
      <w:r>
        <w:instrText xml:space="preserve"> PAGEREF _Toc1536 \h </w:instrText>
      </w:r>
      <w:r>
        <w:fldChar w:fldCharType="separate"/>
      </w:r>
      <w:r>
        <w:t>53</w:t>
      </w:r>
      <w:r>
        <w:fldChar w:fldCharType="end"/>
      </w:r>
      <w:r>
        <w:rPr>
          <w:rFonts w:hint="eastAsia" w:ascii="宋体" w:hAnsi="宋体" w:cs="宋体"/>
          <w:szCs w:val="21"/>
          <w:highlight w:val="none"/>
        </w:rPr>
        <w:fldChar w:fldCharType="end"/>
      </w:r>
    </w:p>
    <w:p w14:paraId="0842A6E6">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_Toc7670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4.3 </w:t>
      </w:r>
      <w:r>
        <w:rPr>
          <w:rFonts w:hint="eastAsia" w:ascii="Times New Roman" w:hAnsi="Times New Roman" w:cs="Times New Roman"/>
          <w:highlight w:val="none"/>
          <w:lang w:val="en-US" w:eastAsia="zh-CN"/>
        </w:rPr>
        <w:t>桩基设计</w:t>
      </w:r>
      <w:r>
        <w:tab/>
      </w:r>
      <w:r>
        <w:fldChar w:fldCharType="begin"/>
      </w:r>
      <w:r>
        <w:instrText xml:space="preserve"> PAGEREF _Toc7670 \h </w:instrText>
      </w:r>
      <w:r>
        <w:fldChar w:fldCharType="separate"/>
      </w:r>
      <w:r>
        <w:t>55</w:t>
      </w:r>
      <w:r>
        <w:fldChar w:fldCharType="end"/>
      </w:r>
      <w:r>
        <w:rPr>
          <w:rFonts w:hint="eastAsia" w:ascii="宋体" w:hAnsi="宋体" w:cs="宋体"/>
          <w:szCs w:val="21"/>
          <w:highlight w:val="none"/>
        </w:rPr>
        <w:fldChar w:fldCharType="end"/>
      </w:r>
    </w:p>
    <w:p w14:paraId="3244D945">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_Toc32722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4.4 </w:t>
      </w:r>
      <w:r>
        <w:rPr>
          <w:rFonts w:hint="eastAsia" w:ascii="黑体" w:hAnsi="黑体"/>
          <w:highlight w:val="none"/>
        </w:rPr>
        <w:t>构造</w:t>
      </w:r>
      <w:r>
        <w:rPr>
          <w:rFonts w:hint="eastAsia" w:ascii="黑体" w:hAnsi="黑体"/>
          <w:highlight w:val="none"/>
          <w:lang w:val="en-US" w:eastAsia="zh-CN"/>
        </w:rPr>
        <w:t>要求</w:t>
      </w:r>
      <w:r>
        <w:tab/>
      </w:r>
      <w:r>
        <w:fldChar w:fldCharType="begin"/>
      </w:r>
      <w:r>
        <w:instrText xml:space="preserve"> PAGEREF _Toc32722 \h </w:instrText>
      </w:r>
      <w:r>
        <w:fldChar w:fldCharType="separate"/>
      </w:r>
      <w:r>
        <w:t>57</w:t>
      </w:r>
      <w:r>
        <w:fldChar w:fldCharType="end"/>
      </w:r>
      <w:r>
        <w:rPr>
          <w:rFonts w:hint="eastAsia" w:ascii="宋体" w:hAnsi="宋体" w:cs="宋体"/>
          <w:szCs w:val="21"/>
          <w:highlight w:val="none"/>
        </w:rPr>
        <w:fldChar w:fldCharType="end"/>
      </w:r>
    </w:p>
    <w:p w14:paraId="6A9B88BC">
      <w:pPr>
        <w:pStyle w:val="30"/>
        <w:keepNext w:val="0"/>
        <w:keepLines w:val="0"/>
        <w:pageBreakBefore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_Toc23794 </w:instrText>
      </w:r>
      <w:r>
        <w:rPr>
          <w:rFonts w:hint="eastAsia" w:ascii="宋体" w:hAnsi="宋体" w:cs="宋体"/>
          <w:szCs w:val="21"/>
          <w:highlight w:val="none"/>
        </w:rPr>
        <w:fldChar w:fldCharType="separate"/>
      </w:r>
      <w:r>
        <w:rPr>
          <w:rFonts w:hint="eastAsia" w:ascii="Times New Roman" w:hAnsi="Times New Roman" w:eastAsia="黑体" w:cs="Times New Roman"/>
          <w:bCs/>
          <w:kern w:val="44"/>
          <w:szCs w:val="44"/>
          <w:highlight w:val="none"/>
          <w:lang w:val="en-US" w:eastAsia="zh-CN" w:bidi="ar-SA"/>
        </w:rPr>
        <w:t xml:space="preserve">5 </w:t>
      </w:r>
      <w:r>
        <w:rPr>
          <w:rFonts w:hint="eastAsia"/>
          <w:highlight w:val="none"/>
          <w:lang w:val="en-US" w:eastAsia="zh-CN"/>
        </w:rPr>
        <w:t>施工</w:t>
      </w:r>
      <w:r>
        <w:tab/>
      </w:r>
      <w:r>
        <w:fldChar w:fldCharType="begin"/>
      </w:r>
      <w:r>
        <w:instrText xml:space="preserve"> PAGEREF _Toc23794 \h </w:instrText>
      </w:r>
      <w:r>
        <w:fldChar w:fldCharType="separate"/>
      </w:r>
      <w:r>
        <w:t>59</w:t>
      </w:r>
      <w:r>
        <w:fldChar w:fldCharType="end"/>
      </w:r>
      <w:r>
        <w:rPr>
          <w:rFonts w:hint="eastAsia" w:ascii="宋体" w:hAnsi="宋体" w:cs="宋体"/>
          <w:szCs w:val="21"/>
          <w:highlight w:val="none"/>
        </w:rPr>
        <w:fldChar w:fldCharType="end"/>
      </w:r>
    </w:p>
    <w:p w14:paraId="5A65E290">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_Toc32172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5.1 </w:t>
      </w:r>
      <w:r>
        <w:rPr>
          <w:rFonts w:hint="eastAsia" w:ascii="黑体" w:hAnsi="黑体"/>
          <w:highlight w:val="none"/>
          <w:lang w:val="en-US" w:eastAsia="zh-CN"/>
        </w:rPr>
        <w:t>一般规定</w:t>
      </w:r>
      <w:r>
        <w:tab/>
      </w:r>
      <w:r>
        <w:fldChar w:fldCharType="begin"/>
      </w:r>
      <w:r>
        <w:instrText xml:space="preserve"> PAGEREF _Toc32172 \h </w:instrText>
      </w:r>
      <w:r>
        <w:fldChar w:fldCharType="separate"/>
      </w:r>
      <w:r>
        <w:t>59</w:t>
      </w:r>
      <w:r>
        <w:fldChar w:fldCharType="end"/>
      </w:r>
      <w:r>
        <w:rPr>
          <w:rFonts w:hint="eastAsia" w:ascii="宋体" w:hAnsi="宋体" w:cs="宋体"/>
          <w:szCs w:val="21"/>
          <w:highlight w:val="none"/>
        </w:rPr>
        <w:fldChar w:fldCharType="end"/>
      </w:r>
    </w:p>
    <w:p w14:paraId="05DD25F3">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_Toc29346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5.2 </w:t>
      </w:r>
      <w:r>
        <w:rPr>
          <w:rFonts w:hint="eastAsia" w:ascii="Times New Roman" w:hAnsi="Times New Roman" w:cs="Times New Roman"/>
          <w:highlight w:val="none"/>
          <w:lang w:val="en-US" w:eastAsia="zh-CN"/>
        </w:rPr>
        <w:t>施工准备</w:t>
      </w:r>
      <w:r>
        <w:tab/>
      </w:r>
      <w:r>
        <w:fldChar w:fldCharType="begin"/>
      </w:r>
      <w:r>
        <w:instrText xml:space="preserve"> PAGEREF _Toc29346 \h </w:instrText>
      </w:r>
      <w:r>
        <w:fldChar w:fldCharType="separate"/>
      </w:r>
      <w:r>
        <w:t>60</w:t>
      </w:r>
      <w:r>
        <w:fldChar w:fldCharType="end"/>
      </w:r>
      <w:r>
        <w:rPr>
          <w:rFonts w:hint="eastAsia" w:ascii="宋体" w:hAnsi="宋体" w:cs="宋体"/>
          <w:szCs w:val="21"/>
          <w:highlight w:val="none"/>
        </w:rPr>
        <w:fldChar w:fldCharType="end"/>
      </w:r>
    </w:p>
    <w:p w14:paraId="35318FD3">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_Toc20482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5.3 </w:t>
      </w:r>
      <w:r>
        <w:rPr>
          <w:rFonts w:hint="eastAsia" w:ascii="Times New Roman" w:hAnsi="Times New Roman" w:cs="Times New Roman"/>
          <w:highlight w:val="none"/>
          <w:lang w:val="en-US" w:eastAsia="zh-CN"/>
        </w:rPr>
        <w:t>放样与定位</w:t>
      </w:r>
      <w:r>
        <w:tab/>
      </w:r>
      <w:r>
        <w:fldChar w:fldCharType="begin"/>
      </w:r>
      <w:r>
        <w:instrText xml:space="preserve"> PAGEREF _Toc20482 \h </w:instrText>
      </w:r>
      <w:r>
        <w:fldChar w:fldCharType="separate"/>
      </w:r>
      <w:r>
        <w:t>60</w:t>
      </w:r>
      <w:r>
        <w:fldChar w:fldCharType="end"/>
      </w:r>
      <w:r>
        <w:rPr>
          <w:rFonts w:hint="eastAsia" w:ascii="宋体" w:hAnsi="宋体" w:cs="宋体"/>
          <w:szCs w:val="21"/>
          <w:highlight w:val="none"/>
        </w:rPr>
        <w:fldChar w:fldCharType="end"/>
      </w:r>
    </w:p>
    <w:p w14:paraId="43983FD2">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_Toc32267 </w:instrText>
      </w:r>
      <w:r>
        <w:rPr>
          <w:rFonts w:hint="eastAsia" w:ascii="宋体" w:hAnsi="宋体" w:cs="宋体"/>
          <w:szCs w:val="21"/>
          <w:highlight w:val="none"/>
        </w:rPr>
        <w:fldChar w:fldCharType="separate"/>
      </w:r>
      <w:r>
        <w:rPr>
          <w:rFonts w:hint="eastAsia" w:ascii="Times New Roman" w:hAnsi="Times New Roman" w:cs="Times New Roman"/>
          <w:highlight w:val="none"/>
        </w:rPr>
        <w:t>5.</w:t>
      </w:r>
      <w:r>
        <w:rPr>
          <w:rFonts w:hint="eastAsia" w:ascii="Times New Roman" w:hAnsi="Times New Roman" w:cs="Times New Roman"/>
          <w:highlight w:val="none"/>
          <w:lang w:val="en-US" w:eastAsia="zh-CN"/>
        </w:rPr>
        <w:t>4</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搅拌工艺</w:t>
      </w:r>
      <w:r>
        <w:tab/>
      </w:r>
      <w:r>
        <w:fldChar w:fldCharType="begin"/>
      </w:r>
      <w:r>
        <w:instrText xml:space="preserve"> PAGEREF _Toc32267 \h </w:instrText>
      </w:r>
      <w:r>
        <w:fldChar w:fldCharType="separate"/>
      </w:r>
      <w:r>
        <w:t>61</w:t>
      </w:r>
      <w:r>
        <w:fldChar w:fldCharType="end"/>
      </w:r>
      <w:r>
        <w:rPr>
          <w:rFonts w:hint="eastAsia" w:ascii="宋体" w:hAnsi="宋体" w:cs="宋体"/>
          <w:szCs w:val="21"/>
          <w:highlight w:val="none"/>
        </w:rPr>
        <w:fldChar w:fldCharType="end"/>
      </w:r>
    </w:p>
    <w:p w14:paraId="0A45F4A3">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_Toc28835 </w:instrText>
      </w:r>
      <w:r>
        <w:rPr>
          <w:rFonts w:hint="eastAsia" w:ascii="宋体" w:hAnsi="宋体" w:cs="宋体"/>
          <w:szCs w:val="21"/>
          <w:highlight w:val="none"/>
        </w:rPr>
        <w:fldChar w:fldCharType="separate"/>
      </w:r>
      <w:r>
        <w:rPr>
          <w:rFonts w:hint="eastAsia" w:ascii="Times New Roman" w:hAnsi="Times New Roman" w:cs="Times New Roman"/>
          <w:highlight w:val="none"/>
        </w:rPr>
        <w:t>5.</w:t>
      </w:r>
      <w:r>
        <w:rPr>
          <w:rFonts w:hint="eastAsia" w:ascii="Times New Roman" w:hAnsi="Times New Roman" w:cs="Times New Roman"/>
          <w:highlight w:val="none"/>
          <w:lang w:val="en-US" w:eastAsia="zh-CN"/>
        </w:rPr>
        <w:t>5</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高压旋喷工艺</w:t>
      </w:r>
      <w:r>
        <w:tab/>
      </w:r>
      <w:r>
        <w:fldChar w:fldCharType="begin"/>
      </w:r>
      <w:r>
        <w:instrText xml:space="preserve"> PAGEREF _Toc28835 \h </w:instrText>
      </w:r>
      <w:r>
        <w:fldChar w:fldCharType="separate"/>
      </w:r>
      <w:r>
        <w:t>62</w:t>
      </w:r>
      <w:r>
        <w:fldChar w:fldCharType="end"/>
      </w:r>
      <w:r>
        <w:rPr>
          <w:rFonts w:hint="eastAsia" w:ascii="宋体" w:hAnsi="宋体" w:cs="宋体"/>
          <w:szCs w:val="21"/>
          <w:highlight w:val="none"/>
        </w:rPr>
        <w:fldChar w:fldCharType="end"/>
      </w:r>
    </w:p>
    <w:p w14:paraId="2199E3AB">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_Toc30004 </w:instrText>
      </w:r>
      <w:r>
        <w:rPr>
          <w:rFonts w:hint="eastAsia" w:ascii="宋体" w:hAnsi="宋体" w:cs="宋体"/>
          <w:szCs w:val="21"/>
          <w:highlight w:val="none"/>
        </w:rPr>
        <w:fldChar w:fldCharType="separate"/>
      </w:r>
      <w:r>
        <w:rPr>
          <w:rFonts w:hint="eastAsia" w:ascii="Times New Roman" w:hAnsi="Times New Roman" w:cs="Times New Roman"/>
          <w:highlight w:val="none"/>
        </w:rPr>
        <w:t>5.</w:t>
      </w:r>
      <w:r>
        <w:rPr>
          <w:rFonts w:hint="eastAsia" w:ascii="Times New Roman" w:hAnsi="Times New Roman" w:cs="Times New Roman"/>
          <w:highlight w:val="none"/>
          <w:lang w:val="en-US" w:eastAsia="zh-CN"/>
        </w:rPr>
        <w:t>6</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旋挖工艺</w:t>
      </w:r>
      <w:r>
        <w:tab/>
      </w:r>
      <w:r>
        <w:fldChar w:fldCharType="begin"/>
      </w:r>
      <w:r>
        <w:instrText xml:space="preserve"> PAGEREF _Toc30004 \h </w:instrText>
      </w:r>
      <w:r>
        <w:fldChar w:fldCharType="separate"/>
      </w:r>
      <w:r>
        <w:t>63</w:t>
      </w:r>
      <w:r>
        <w:fldChar w:fldCharType="end"/>
      </w:r>
      <w:r>
        <w:rPr>
          <w:rFonts w:hint="eastAsia" w:ascii="宋体" w:hAnsi="宋体" w:cs="宋体"/>
          <w:szCs w:val="21"/>
          <w:highlight w:val="none"/>
        </w:rPr>
        <w:fldChar w:fldCharType="end"/>
      </w:r>
    </w:p>
    <w:p w14:paraId="085925DF">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_Toc6947 </w:instrText>
      </w:r>
      <w:r>
        <w:rPr>
          <w:rFonts w:hint="eastAsia" w:ascii="宋体" w:hAnsi="宋体" w:cs="宋体"/>
          <w:szCs w:val="21"/>
          <w:highlight w:val="none"/>
        </w:rPr>
        <w:fldChar w:fldCharType="separate"/>
      </w:r>
      <w:r>
        <w:rPr>
          <w:rFonts w:hint="eastAsia" w:ascii="Times New Roman" w:hAnsi="Times New Roman" w:cs="Times New Roman"/>
          <w:highlight w:val="none"/>
        </w:rPr>
        <w:t>5.</w:t>
      </w:r>
      <w:r>
        <w:rPr>
          <w:rFonts w:hint="eastAsia" w:ascii="Times New Roman" w:hAnsi="Times New Roman" w:cs="Times New Roman"/>
          <w:highlight w:val="none"/>
          <w:lang w:val="en-US" w:eastAsia="zh-CN"/>
        </w:rPr>
        <w:t>7</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长螺旋压灌工艺</w:t>
      </w:r>
      <w:r>
        <w:tab/>
      </w:r>
      <w:r>
        <w:fldChar w:fldCharType="begin"/>
      </w:r>
      <w:r>
        <w:instrText xml:space="preserve"> PAGEREF _Toc6947 \h </w:instrText>
      </w:r>
      <w:r>
        <w:fldChar w:fldCharType="separate"/>
      </w:r>
      <w:r>
        <w:t>63</w:t>
      </w:r>
      <w:r>
        <w:fldChar w:fldCharType="end"/>
      </w:r>
      <w:r>
        <w:rPr>
          <w:rFonts w:hint="eastAsia" w:ascii="宋体" w:hAnsi="宋体" w:cs="宋体"/>
          <w:szCs w:val="21"/>
          <w:highlight w:val="none"/>
        </w:rPr>
        <w:fldChar w:fldCharType="end"/>
      </w:r>
    </w:p>
    <w:p w14:paraId="72C0D4D8">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_Toc29796 </w:instrText>
      </w:r>
      <w:r>
        <w:rPr>
          <w:rFonts w:hint="eastAsia" w:ascii="宋体" w:hAnsi="宋体" w:cs="宋体"/>
          <w:szCs w:val="21"/>
          <w:highlight w:val="none"/>
        </w:rPr>
        <w:fldChar w:fldCharType="separate"/>
      </w:r>
      <w:r>
        <w:rPr>
          <w:rFonts w:hint="eastAsia" w:ascii="Times New Roman" w:hAnsi="Times New Roman" w:cs="Times New Roman"/>
          <w:highlight w:val="none"/>
        </w:rPr>
        <w:t>5.</w:t>
      </w:r>
      <w:r>
        <w:rPr>
          <w:rFonts w:hint="eastAsia" w:ascii="Times New Roman" w:hAnsi="Times New Roman" w:cs="Times New Roman"/>
          <w:highlight w:val="none"/>
          <w:lang w:val="en-US" w:eastAsia="zh-CN"/>
        </w:rPr>
        <w:t>8</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沉桩与接桩</w:t>
      </w:r>
      <w:r>
        <w:tab/>
      </w:r>
      <w:r>
        <w:fldChar w:fldCharType="begin"/>
      </w:r>
      <w:r>
        <w:instrText xml:space="preserve"> PAGEREF _Toc29796 \h </w:instrText>
      </w:r>
      <w:r>
        <w:fldChar w:fldCharType="separate"/>
      </w:r>
      <w:r>
        <w:t>64</w:t>
      </w:r>
      <w:r>
        <w:fldChar w:fldCharType="end"/>
      </w:r>
      <w:r>
        <w:rPr>
          <w:rFonts w:hint="eastAsia" w:ascii="宋体" w:hAnsi="宋体" w:cs="宋体"/>
          <w:szCs w:val="21"/>
          <w:highlight w:val="none"/>
        </w:rPr>
        <w:fldChar w:fldCharType="end"/>
      </w:r>
    </w:p>
    <w:p w14:paraId="101FC09B">
      <w:pPr>
        <w:pStyle w:val="30"/>
        <w:keepNext w:val="0"/>
        <w:keepLines w:val="0"/>
        <w:pageBreakBefore w:val="0"/>
        <w:tabs>
          <w:tab w:val="right" w:leader="dot" w:pos="5896"/>
          <w:tab w:val="clear" w:pos="588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_Toc5543 </w:instrText>
      </w:r>
      <w:r>
        <w:rPr>
          <w:rFonts w:hint="eastAsia" w:ascii="宋体" w:hAnsi="宋体" w:cs="宋体"/>
          <w:szCs w:val="21"/>
          <w:highlight w:val="none"/>
        </w:rPr>
        <w:fldChar w:fldCharType="separate"/>
      </w:r>
      <w:r>
        <w:rPr>
          <w:rFonts w:hint="default" w:ascii="Times New Roman" w:hAnsi="Times New Roman" w:cs="Times New Roman"/>
          <w:highlight w:val="none"/>
        </w:rPr>
        <w:t xml:space="preserve">6 </w:t>
      </w:r>
      <w:r>
        <w:rPr>
          <w:rFonts w:hint="eastAsia"/>
          <w:highlight w:val="none"/>
          <w:lang w:val="en-US" w:eastAsia="zh-CN"/>
        </w:rPr>
        <w:t>质量检测及验收</w:t>
      </w:r>
      <w:r>
        <w:tab/>
      </w:r>
      <w:r>
        <w:fldChar w:fldCharType="begin"/>
      </w:r>
      <w:r>
        <w:instrText xml:space="preserve"> PAGEREF _Toc5543 \h </w:instrText>
      </w:r>
      <w:r>
        <w:fldChar w:fldCharType="separate"/>
      </w:r>
      <w:r>
        <w:t>65</w:t>
      </w:r>
      <w:r>
        <w:fldChar w:fldCharType="end"/>
      </w:r>
      <w:r>
        <w:rPr>
          <w:rFonts w:hint="eastAsia" w:ascii="宋体" w:hAnsi="宋体" w:cs="宋体"/>
          <w:szCs w:val="21"/>
          <w:highlight w:val="none"/>
        </w:rPr>
        <w:fldChar w:fldCharType="end"/>
      </w:r>
    </w:p>
    <w:p w14:paraId="715B596E">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_Toc16441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6.1 </w:t>
      </w:r>
      <w:r>
        <w:rPr>
          <w:rFonts w:hint="eastAsia" w:ascii="黑体" w:hAnsi="黑体"/>
          <w:highlight w:val="none"/>
        </w:rPr>
        <w:t>一般规定</w:t>
      </w:r>
      <w:r>
        <w:tab/>
      </w:r>
      <w:r>
        <w:fldChar w:fldCharType="begin"/>
      </w:r>
      <w:r>
        <w:instrText xml:space="preserve"> PAGEREF _Toc16441 \h </w:instrText>
      </w:r>
      <w:r>
        <w:fldChar w:fldCharType="separate"/>
      </w:r>
      <w:r>
        <w:t>65</w:t>
      </w:r>
      <w:r>
        <w:fldChar w:fldCharType="end"/>
      </w:r>
      <w:r>
        <w:rPr>
          <w:rFonts w:hint="eastAsia" w:ascii="宋体" w:hAnsi="宋体" w:cs="宋体"/>
          <w:szCs w:val="21"/>
          <w:highlight w:val="none"/>
        </w:rPr>
        <w:fldChar w:fldCharType="end"/>
      </w:r>
    </w:p>
    <w:p w14:paraId="6C8032D1">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_Toc5409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6.2 </w:t>
      </w:r>
      <w:r>
        <w:rPr>
          <w:rFonts w:hint="eastAsia" w:ascii="黑体" w:hAnsi="黑体"/>
          <w:highlight w:val="none"/>
          <w:lang w:val="en-US" w:eastAsia="zh-CN"/>
        </w:rPr>
        <w:t>施工前检测</w:t>
      </w:r>
      <w:r>
        <w:tab/>
      </w:r>
      <w:r>
        <w:fldChar w:fldCharType="begin"/>
      </w:r>
      <w:r>
        <w:instrText xml:space="preserve"> PAGEREF _Toc5409 \h </w:instrText>
      </w:r>
      <w:r>
        <w:fldChar w:fldCharType="separate"/>
      </w:r>
      <w:r>
        <w:t>65</w:t>
      </w:r>
      <w:r>
        <w:fldChar w:fldCharType="end"/>
      </w:r>
      <w:r>
        <w:rPr>
          <w:rFonts w:hint="eastAsia" w:ascii="宋体" w:hAnsi="宋体" w:cs="宋体"/>
          <w:szCs w:val="21"/>
          <w:highlight w:val="none"/>
        </w:rPr>
        <w:fldChar w:fldCharType="end"/>
      </w:r>
    </w:p>
    <w:p w14:paraId="2FBADB18">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_Toc22918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6.3 </w:t>
      </w:r>
      <w:r>
        <w:rPr>
          <w:rFonts w:hint="eastAsia" w:ascii="黑体" w:hAnsi="黑体"/>
          <w:highlight w:val="none"/>
          <w:lang w:val="en-US" w:eastAsia="zh-CN"/>
        </w:rPr>
        <w:t>施工中检测</w:t>
      </w:r>
      <w:r>
        <w:tab/>
      </w:r>
      <w:r>
        <w:fldChar w:fldCharType="begin"/>
      </w:r>
      <w:r>
        <w:instrText xml:space="preserve"> PAGEREF _Toc22918 \h </w:instrText>
      </w:r>
      <w:r>
        <w:fldChar w:fldCharType="separate"/>
      </w:r>
      <w:r>
        <w:t>66</w:t>
      </w:r>
      <w:r>
        <w:fldChar w:fldCharType="end"/>
      </w:r>
      <w:r>
        <w:rPr>
          <w:rFonts w:hint="eastAsia" w:ascii="宋体" w:hAnsi="宋体" w:cs="宋体"/>
          <w:szCs w:val="21"/>
          <w:highlight w:val="none"/>
        </w:rPr>
        <w:fldChar w:fldCharType="end"/>
      </w:r>
    </w:p>
    <w:p w14:paraId="25D2D142">
      <w:pPr>
        <w:pStyle w:val="38"/>
        <w:keepNext w:val="0"/>
        <w:keepLines w:val="0"/>
        <w:pageBreakBefore w:val="0"/>
        <w:tabs>
          <w:tab w:val="right" w:leader="dot" w:pos="5896"/>
        </w:tabs>
        <w:kinsoku/>
        <w:wordWrap/>
        <w:overflowPunct/>
        <w:topLinePunct w:val="0"/>
        <w:autoSpaceDE/>
        <w:autoSpaceDN/>
        <w:bidi w:val="0"/>
        <w:adjustRightInd/>
        <w:snapToGrid/>
        <w:spacing w:line="240" w:lineRule="exact"/>
        <w:textAlignment w:val="auto"/>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_Toc16430 </w:instrText>
      </w:r>
      <w:r>
        <w:rPr>
          <w:rFonts w:hint="eastAsia" w:ascii="宋体" w:hAnsi="宋体" w:cs="宋体"/>
          <w:szCs w:val="21"/>
          <w:highlight w:val="none"/>
        </w:rPr>
        <w:fldChar w:fldCharType="separate"/>
      </w:r>
      <w:r>
        <w:rPr>
          <w:rFonts w:hint="eastAsia" w:ascii="Times New Roman" w:hAnsi="Times New Roman" w:cs="Times New Roman"/>
          <w:highlight w:val="none"/>
        </w:rPr>
        <w:t xml:space="preserve">6.4 </w:t>
      </w:r>
      <w:r>
        <w:rPr>
          <w:rFonts w:hint="eastAsia" w:ascii="黑体" w:hAnsi="黑体"/>
          <w:highlight w:val="none"/>
          <w:lang w:val="en-US" w:eastAsia="zh-CN"/>
        </w:rPr>
        <w:t>施工后检测</w:t>
      </w:r>
      <w:r>
        <w:tab/>
      </w:r>
      <w:r>
        <w:fldChar w:fldCharType="begin"/>
      </w:r>
      <w:r>
        <w:instrText xml:space="preserve"> PAGEREF _Toc16430 \h </w:instrText>
      </w:r>
      <w:r>
        <w:fldChar w:fldCharType="separate"/>
      </w:r>
      <w:r>
        <w:t>66</w:t>
      </w:r>
      <w:r>
        <w:fldChar w:fldCharType="end"/>
      </w:r>
      <w:r>
        <w:rPr>
          <w:rFonts w:hint="eastAsia" w:ascii="宋体" w:hAnsi="宋体" w:cs="宋体"/>
          <w:szCs w:val="21"/>
          <w:highlight w:val="none"/>
        </w:rPr>
        <w:fldChar w:fldCharType="end"/>
      </w:r>
    </w:p>
    <w:p w14:paraId="44ABA7CE">
      <w:pPr>
        <w:pStyle w:val="78"/>
        <w:keepNext w:val="0"/>
        <w:keepLines w:val="0"/>
        <w:pageBreakBefore w:val="0"/>
        <w:tabs>
          <w:tab w:val="right" w:leader="dot" w:pos="5896"/>
        </w:tabs>
        <w:kinsoku/>
        <w:wordWrap/>
        <w:overflowPunct/>
        <w:topLinePunct w:val="0"/>
        <w:autoSpaceDE/>
        <w:autoSpaceDN/>
        <w:bidi w:val="0"/>
        <w:adjustRightInd/>
        <w:snapToGrid/>
        <w:spacing w:line="240" w:lineRule="exact"/>
        <w:ind w:left="0" w:leftChars="0" w:firstLine="200" w:firstLineChars="100"/>
        <w:textAlignment w:val="auto"/>
        <w:rPr>
          <w:rFonts w:hint="eastAsia" w:ascii="宋体" w:hAnsi="宋体" w:eastAsia="宋体" w:cs="宋体"/>
          <w:color w:val="auto"/>
          <w:sz w:val="21"/>
          <w:szCs w:val="21"/>
          <w:highlight w:val="none"/>
          <w:u w:val="none"/>
          <w:lang w:val="en-US" w:eastAsia="zh-CN"/>
        </w:rPr>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_Toc14623 </w:instrText>
      </w:r>
      <w:r>
        <w:rPr>
          <w:rFonts w:hint="eastAsia" w:ascii="宋体" w:hAnsi="宋体" w:cs="宋体"/>
          <w:szCs w:val="21"/>
          <w:highlight w:val="none"/>
        </w:rPr>
        <w:fldChar w:fldCharType="separate"/>
      </w:r>
      <w:r>
        <w:rPr>
          <w:rFonts w:hint="default" w:ascii="Times New Roman" w:hAnsi="Times New Roman" w:cs="Times New Roman"/>
          <w:highlight w:val="none"/>
        </w:rPr>
        <w:t xml:space="preserve">6.5 </w:t>
      </w:r>
      <w:r>
        <w:rPr>
          <w:rFonts w:hint="eastAsia" w:ascii="黑体" w:hAnsi="黑体"/>
          <w:highlight w:val="none"/>
          <w:lang w:val="en-US" w:eastAsia="zh-CN"/>
        </w:rPr>
        <w:t>验收</w:t>
      </w:r>
      <w:r>
        <w:tab/>
      </w:r>
      <w:r>
        <w:fldChar w:fldCharType="begin"/>
      </w:r>
      <w:r>
        <w:instrText xml:space="preserve"> PAGEREF _Toc14623 \h </w:instrText>
      </w:r>
      <w:r>
        <w:fldChar w:fldCharType="separate"/>
      </w:r>
      <w:r>
        <w:t>67</w:t>
      </w:r>
      <w:r>
        <w:fldChar w:fldCharType="end"/>
      </w:r>
      <w:r>
        <w:rPr>
          <w:rFonts w:hint="eastAsia" w:ascii="宋体" w:hAnsi="宋体" w:cs="宋体"/>
          <w:szCs w:val="21"/>
          <w:highlight w:val="none"/>
        </w:rPr>
        <w:fldChar w:fldCharType="end"/>
      </w:r>
    </w:p>
    <w:p w14:paraId="21D45056">
      <w:pPr>
        <w:pStyle w:val="2"/>
        <w:spacing w:before="156" w:after="156"/>
        <w:rPr>
          <w:highlight w:val="none"/>
        </w:rPr>
      </w:pPr>
      <w:bookmarkStart w:id="197" w:name="_Toc17439"/>
      <w:bookmarkStart w:id="198" w:name="_Toc3090"/>
      <w:bookmarkStart w:id="199" w:name="_Toc7664"/>
      <w:bookmarkStart w:id="200" w:name="_Toc5036"/>
      <w:bookmarkStart w:id="201" w:name="_Toc23921"/>
      <w:bookmarkStart w:id="202" w:name="_Toc19153"/>
      <w:bookmarkStart w:id="203" w:name="_Toc26309"/>
      <w:bookmarkStart w:id="204" w:name="_1  总  则"/>
      <w:bookmarkStart w:id="205" w:name="_1 总  则_1"/>
      <w:r>
        <w:rPr>
          <w:rFonts w:hint="default" w:ascii="Times New Roman" w:hAnsi="Times New Roman" w:cs="Times New Roman"/>
          <w:highlight w:val="none"/>
        </w:rPr>
        <w:t xml:space="preserve">1 </w:t>
      </w:r>
      <w:r>
        <w:rPr>
          <w:rFonts w:hint="eastAsia"/>
          <w:highlight w:val="none"/>
        </w:rPr>
        <w:t>总  则</w:t>
      </w:r>
      <w:bookmarkEnd w:id="196"/>
      <w:bookmarkEnd w:id="197"/>
      <w:bookmarkEnd w:id="198"/>
      <w:bookmarkEnd w:id="199"/>
      <w:bookmarkEnd w:id="200"/>
      <w:bookmarkEnd w:id="201"/>
      <w:bookmarkEnd w:id="202"/>
      <w:bookmarkEnd w:id="203"/>
    </w:p>
    <w:bookmarkEnd w:id="204"/>
    <w:bookmarkEnd w:id="205"/>
    <w:p w14:paraId="2D660FA4">
      <w:pPr>
        <w:spacing w:line="330" w:lineRule="exact"/>
        <w:rPr>
          <w:rFonts w:hint="eastAsia" w:asciiTheme="minorEastAsia" w:hAnsiTheme="minorEastAsia" w:eastAsiaTheme="minorEastAsia" w:cstheme="minorEastAsia"/>
          <w:bCs/>
          <w:szCs w:val="21"/>
          <w:highlight w:val="none"/>
          <w:lang w:eastAsia="zh-CN"/>
        </w:rPr>
      </w:pPr>
      <w:r>
        <w:rPr>
          <w:rFonts w:hint="default" w:ascii="Times New Roman" w:hAnsi="Times New Roman" w:cs="Times New Roman" w:eastAsiaTheme="minorEastAsia"/>
          <w:b/>
          <w:bCs/>
          <w:szCs w:val="21"/>
          <w:highlight w:val="none"/>
        </w:rPr>
        <w:t>1.0.1</w:t>
      </w:r>
      <w:r>
        <w:rPr>
          <w:rFonts w:hint="eastAsia" w:asciiTheme="minorEastAsia" w:hAnsiTheme="minorEastAsia" w:eastAsiaTheme="minorEastAsia" w:cstheme="minorEastAsia"/>
          <w:b/>
          <w:szCs w:val="21"/>
          <w:highlight w:val="none"/>
        </w:rPr>
        <w:t xml:space="preserve"> </w:t>
      </w:r>
      <w:r>
        <w:rPr>
          <w:rFonts w:hint="eastAsia" w:asciiTheme="minorEastAsia" w:hAnsiTheme="minorEastAsia" w:eastAsiaTheme="minorEastAsia" w:cstheme="minorEastAsia"/>
          <w:bCs/>
          <w:szCs w:val="21"/>
          <w:highlight w:val="none"/>
          <w:lang w:eastAsia="zh-CN"/>
        </w:rPr>
        <w:t>由于预制桩具有质量可</w:t>
      </w:r>
      <w:r>
        <w:rPr>
          <w:rFonts w:hint="eastAsia" w:asciiTheme="minorEastAsia" w:hAnsiTheme="minorEastAsia" w:eastAsiaTheme="minorEastAsia" w:cstheme="minorEastAsia"/>
          <w:bCs/>
          <w:szCs w:val="21"/>
          <w:highlight w:val="none"/>
          <w:lang w:val="en-US" w:eastAsia="zh-CN"/>
        </w:rPr>
        <w:t>靠</w:t>
      </w:r>
      <w:r>
        <w:rPr>
          <w:rFonts w:hint="eastAsia" w:asciiTheme="minorEastAsia" w:hAnsiTheme="minorEastAsia" w:eastAsiaTheme="minorEastAsia" w:cstheme="minorEastAsia"/>
          <w:bCs/>
          <w:szCs w:val="21"/>
          <w:highlight w:val="none"/>
          <w:lang w:eastAsia="zh-CN"/>
        </w:rPr>
        <w:t>、施工速度快、经济性好、对环境的影响较小和防腐蚀性能优良的特点，因此预制桩的应用越来越广泛，预制桩</w:t>
      </w:r>
      <w:r>
        <w:rPr>
          <w:rFonts w:hint="eastAsia" w:asciiTheme="minorEastAsia" w:hAnsiTheme="minorEastAsia" w:eastAsiaTheme="minorEastAsia" w:cstheme="minorEastAsia"/>
          <w:bCs/>
          <w:szCs w:val="21"/>
          <w:highlight w:val="none"/>
          <w:lang w:val="en-US" w:eastAsia="zh-CN"/>
        </w:rPr>
        <w:t>常规</w:t>
      </w:r>
      <w:r>
        <w:rPr>
          <w:rFonts w:hint="eastAsia" w:asciiTheme="minorEastAsia" w:hAnsiTheme="minorEastAsia" w:eastAsiaTheme="minorEastAsia" w:cstheme="minorEastAsia"/>
          <w:bCs/>
          <w:szCs w:val="21"/>
          <w:highlight w:val="none"/>
          <w:lang w:eastAsia="zh-CN"/>
        </w:rPr>
        <w:t>的施工方法主要分为锤击和静压两种，少数情况下会采用振动沉桩的</w:t>
      </w:r>
      <w:r>
        <w:rPr>
          <w:rFonts w:hint="eastAsia" w:asciiTheme="minorEastAsia" w:hAnsiTheme="minorEastAsia" w:eastAsiaTheme="minorEastAsia" w:cstheme="minorEastAsia"/>
          <w:bCs/>
          <w:szCs w:val="21"/>
          <w:highlight w:val="none"/>
          <w:lang w:val="en-US" w:eastAsia="zh-CN"/>
        </w:rPr>
        <w:t>方式</w:t>
      </w:r>
      <w:r>
        <w:rPr>
          <w:rFonts w:hint="eastAsia" w:asciiTheme="minorEastAsia" w:hAnsiTheme="minorEastAsia" w:eastAsiaTheme="minorEastAsia" w:cstheme="minorEastAsia"/>
          <w:bCs/>
          <w:szCs w:val="21"/>
          <w:highlight w:val="none"/>
          <w:lang w:eastAsia="zh-CN"/>
        </w:rPr>
        <w:t>。</w:t>
      </w:r>
      <w:r>
        <w:rPr>
          <w:rFonts w:hint="eastAsia" w:asciiTheme="minorEastAsia" w:hAnsiTheme="minorEastAsia" w:eastAsiaTheme="minorEastAsia" w:cstheme="minorEastAsia"/>
          <w:bCs/>
          <w:szCs w:val="21"/>
          <w:highlight w:val="none"/>
          <w:lang w:val="en-US" w:eastAsia="zh-CN"/>
        </w:rPr>
        <w:t>但常规的</w:t>
      </w:r>
      <w:r>
        <w:rPr>
          <w:rFonts w:hint="eastAsia" w:asciiTheme="minorEastAsia" w:hAnsiTheme="minorEastAsia" w:eastAsiaTheme="minorEastAsia" w:cstheme="minorEastAsia"/>
          <w:bCs/>
          <w:szCs w:val="21"/>
          <w:highlight w:val="none"/>
          <w:lang w:eastAsia="zh-CN"/>
        </w:rPr>
        <w:t>施工方法在</w:t>
      </w:r>
      <w:r>
        <w:rPr>
          <w:rFonts w:hint="eastAsia" w:asciiTheme="minorEastAsia" w:hAnsiTheme="minorEastAsia" w:eastAsiaTheme="minorEastAsia" w:cstheme="minorEastAsia"/>
          <w:bCs/>
          <w:szCs w:val="21"/>
          <w:highlight w:val="none"/>
          <w:lang w:val="en-US" w:eastAsia="zh-CN"/>
        </w:rPr>
        <w:t>一些特定情况下无法适用，</w:t>
      </w:r>
      <w:r>
        <w:rPr>
          <w:rFonts w:hint="eastAsia" w:asciiTheme="minorEastAsia" w:hAnsiTheme="minorEastAsia" w:eastAsiaTheme="minorEastAsia" w:cstheme="minorEastAsia"/>
          <w:bCs/>
          <w:szCs w:val="21"/>
          <w:highlight w:val="none"/>
          <w:lang w:eastAsia="zh-CN"/>
        </w:rPr>
        <w:t>采用预制桩植桩技术</w:t>
      </w:r>
      <w:r>
        <w:rPr>
          <w:rFonts w:hint="eastAsia" w:asciiTheme="minorEastAsia" w:hAnsiTheme="minorEastAsia" w:eastAsiaTheme="minorEastAsia" w:cstheme="minorEastAsia"/>
          <w:bCs/>
          <w:szCs w:val="21"/>
          <w:highlight w:val="none"/>
          <w:lang w:val="en-US" w:eastAsia="zh-CN"/>
        </w:rPr>
        <w:t>可以</w:t>
      </w:r>
      <w:r>
        <w:rPr>
          <w:rFonts w:hint="eastAsia" w:asciiTheme="minorEastAsia" w:hAnsiTheme="minorEastAsia" w:eastAsiaTheme="minorEastAsia" w:cstheme="minorEastAsia"/>
          <w:bCs/>
          <w:szCs w:val="21"/>
          <w:highlight w:val="none"/>
          <w:lang w:eastAsia="zh-CN"/>
        </w:rPr>
        <w:t>有效解决</w:t>
      </w:r>
      <w:r>
        <w:rPr>
          <w:rFonts w:hint="eastAsia" w:asciiTheme="minorEastAsia" w:hAnsiTheme="minorEastAsia" w:eastAsiaTheme="minorEastAsia" w:cstheme="minorEastAsia"/>
          <w:bCs/>
          <w:szCs w:val="21"/>
          <w:highlight w:val="none"/>
          <w:lang w:val="en-US" w:eastAsia="zh-CN"/>
        </w:rPr>
        <w:t>此</w:t>
      </w:r>
      <w:r>
        <w:rPr>
          <w:rFonts w:hint="eastAsia" w:asciiTheme="minorEastAsia" w:hAnsiTheme="minorEastAsia" w:eastAsiaTheme="minorEastAsia" w:cstheme="minorEastAsia"/>
          <w:bCs/>
          <w:szCs w:val="21"/>
          <w:highlight w:val="none"/>
          <w:lang w:eastAsia="zh-CN"/>
        </w:rPr>
        <w:t>问题，同时预制桩植桩技术具有成桩质量稳定，单位面积承载力高等优点。目前石油和化工行业没有预制桩植桩技术相关的国家、行业或团体标准。该</w:t>
      </w:r>
      <w:r>
        <w:rPr>
          <w:rFonts w:hint="eastAsia" w:asciiTheme="minorEastAsia" w:hAnsiTheme="minorEastAsia" w:eastAsiaTheme="minorEastAsia" w:cstheme="minorEastAsia"/>
          <w:bCs/>
          <w:szCs w:val="21"/>
          <w:highlight w:val="none"/>
          <w:lang w:val="en-US" w:eastAsia="zh-CN"/>
        </w:rPr>
        <w:t>规范</w:t>
      </w:r>
      <w:r>
        <w:rPr>
          <w:rFonts w:hint="eastAsia" w:asciiTheme="minorEastAsia" w:hAnsiTheme="minorEastAsia" w:eastAsiaTheme="minorEastAsia" w:cstheme="minorEastAsia"/>
          <w:bCs/>
          <w:szCs w:val="21"/>
          <w:highlight w:val="none"/>
          <w:lang w:eastAsia="zh-CN"/>
        </w:rPr>
        <w:t>制定后将填补此技术应用</w:t>
      </w:r>
      <w:r>
        <w:rPr>
          <w:rFonts w:hint="eastAsia" w:asciiTheme="minorEastAsia" w:hAnsiTheme="minorEastAsia" w:eastAsiaTheme="minorEastAsia" w:cstheme="minorEastAsia"/>
          <w:bCs/>
          <w:szCs w:val="21"/>
          <w:highlight w:val="none"/>
          <w:lang w:val="en-US" w:eastAsia="zh-CN"/>
        </w:rPr>
        <w:t>规范</w:t>
      </w:r>
      <w:r>
        <w:rPr>
          <w:rFonts w:hint="eastAsia" w:asciiTheme="minorEastAsia" w:hAnsiTheme="minorEastAsia" w:eastAsiaTheme="minorEastAsia" w:cstheme="minorEastAsia"/>
          <w:bCs/>
          <w:szCs w:val="21"/>
          <w:highlight w:val="none"/>
          <w:lang w:eastAsia="zh-CN"/>
        </w:rPr>
        <w:t>的空白，保证预制桩植桩从设计、施工到</w:t>
      </w:r>
      <w:r>
        <w:rPr>
          <w:rFonts w:hint="eastAsia" w:asciiTheme="minorEastAsia" w:hAnsiTheme="minorEastAsia" w:eastAsiaTheme="minorEastAsia" w:cstheme="minorEastAsia"/>
          <w:bCs/>
          <w:szCs w:val="21"/>
          <w:highlight w:val="none"/>
          <w:lang w:val="en-US" w:eastAsia="zh-CN"/>
        </w:rPr>
        <w:t>检测</w:t>
      </w:r>
      <w:r>
        <w:rPr>
          <w:rFonts w:hint="eastAsia" w:asciiTheme="minorEastAsia" w:hAnsiTheme="minorEastAsia" w:eastAsiaTheme="minorEastAsia" w:cstheme="minorEastAsia"/>
          <w:bCs/>
          <w:szCs w:val="21"/>
          <w:highlight w:val="none"/>
          <w:lang w:eastAsia="zh-CN"/>
        </w:rPr>
        <w:t>验收有标准可依，对提高项目的设计和施工水平，加强质量控制起到积极作用。该</w:t>
      </w:r>
      <w:r>
        <w:rPr>
          <w:rFonts w:hint="eastAsia" w:asciiTheme="minorEastAsia" w:hAnsiTheme="minorEastAsia" w:eastAsiaTheme="minorEastAsia" w:cstheme="minorEastAsia"/>
          <w:bCs/>
          <w:szCs w:val="21"/>
          <w:highlight w:val="none"/>
          <w:lang w:val="en-US" w:eastAsia="zh-CN"/>
        </w:rPr>
        <w:t>规范</w:t>
      </w:r>
      <w:r>
        <w:rPr>
          <w:rFonts w:hint="eastAsia" w:asciiTheme="minorEastAsia" w:hAnsiTheme="minorEastAsia" w:eastAsiaTheme="minorEastAsia" w:cstheme="minorEastAsia"/>
          <w:bCs/>
          <w:szCs w:val="21"/>
          <w:highlight w:val="none"/>
          <w:lang w:eastAsia="zh-CN"/>
        </w:rPr>
        <w:t>的编制既有实际需求，也有利于在国内进一步推广预制桩植桩技术的应用，促进桩基行业的发展。</w:t>
      </w:r>
    </w:p>
    <w:p w14:paraId="073D6588">
      <w:pPr>
        <w:pStyle w:val="16"/>
        <w:rPr>
          <w:rFonts w:hint="eastAsia" w:ascii="宋体" w:hAnsi="宋体"/>
          <w:bCs/>
          <w:szCs w:val="21"/>
          <w:highlight w:val="none"/>
          <w:lang w:eastAsia="zh-CN"/>
        </w:rPr>
      </w:pPr>
      <w:r>
        <w:rPr>
          <w:rFonts w:hint="eastAsia" w:ascii="Times New Roman" w:hAnsi="Times New Roman" w:cs="Times New Roman" w:eastAsiaTheme="minorEastAsia"/>
          <w:b/>
          <w:bCs/>
          <w:szCs w:val="21"/>
          <w:highlight w:val="none"/>
        </w:rPr>
        <w:t>1.0.3</w:t>
      </w:r>
      <w:r>
        <w:rPr>
          <w:rFonts w:hint="eastAsia" w:ascii="宋体" w:hAnsi="宋体"/>
          <w:b/>
          <w:szCs w:val="21"/>
          <w:highlight w:val="none"/>
        </w:rPr>
        <w:t xml:space="preserve"> </w:t>
      </w:r>
      <w:r>
        <w:rPr>
          <w:rFonts w:hint="eastAsia" w:ascii="宋体" w:hAnsi="宋体"/>
          <w:bCs/>
          <w:szCs w:val="21"/>
          <w:highlight w:val="none"/>
        </w:rPr>
        <w:t>工程设计人员在选用</w:t>
      </w:r>
      <w:r>
        <w:rPr>
          <w:rFonts w:hint="eastAsia" w:ascii="宋体" w:hAnsi="宋体"/>
          <w:bCs/>
          <w:szCs w:val="21"/>
          <w:highlight w:val="none"/>
          <w:lang w:val="en-US" w:eastAsia="zh-CN"/>
        </w:rPr>
        <w:t>预制桩植桩技术</w:t>
      </w:r>
      <w:r>
        <w:rPr>
          <w:rFonts w:hint="eastAsia" w:ascii="宋体" w:hAnsi="宋体"/>
          <w:bCs/>
          <w:szCs w:val="21"/>
          <w:highlight w:val="none"/>
        </w:rPr>
        <w:t>时，应充分考虑建（构）筑物场地的地质条件</w:t>
      </w:r>
      <w:r>
        <w:rPr>
          <w:rFonts w:hint="eastAsia" w:ascii="宋体" w:hAnsi="宋体"/>
          <w:bCs/>
          <w:szCs w:val="21"/>
          <w:highlight w:val="none"/>
          <w:lang w:eastAsia="zh-CN"/>
        </w:rPr>
        <w:t>、</w:t>
      </w:r>
      <w:r>
        <w:rPr>
          <w:rFonts w:hint="eastAsia" w:ascii="宋体" w:hAnsi="宋体"/>
          <w:bCs/>
          <w:szCs w:val="21"/>
          <w:highlight w:val="none"/>
          <w:lang w:val="en-US" w:eastAsia="zh-CN"/>
        </w:rPr>
        <w:t>结构特点、荷载特点、</w:t>
      </w:r>
      <w:r>
        <w:rPr>
          <w:rFonts w:hint="eastAsia" w:ascii="宋体" w:hAnsi="宋体"/>
          <w:bCs/>
          <w:szCs w:val="21"/>
          <w:highlight w:val="none"/>
        </w:rPr>
        <w:t>桩基承载力要求、周边环境</w:t>
      </w:r>
      <w:r>
        <w:rPr>
          <w:rFonts w:hint="eastAsia" w:ascii="宋体" w:hAnsi="宋体"/>
          <w:bCs/>
          <w:szCs w:val="21"/>
          <w:highlight w:val="none"/>
          <w:lang w:eastAsia="zh-CN"/>
        </w:rPr>
        <w:t>、</w:t>
      </w:r>
      <w:r>
        <w:rPr>
          <w:rFonts w:hint="eastAsia" w:ascii="宋体" w:hAnsi="宋体"/>
          <w:bCs/>
          <w:szCs w:val="21"/>
          <w:highlight w:val="none"/>
        </w:rPr>
        <w:t>施工条件，确定选用</w:t>
      </w:r>
      <w:r>
        <w:rPr>
          <w:rFonts w:hint="eastAsia" w:ascii="宋体" w:hAnsi="宋体"/>
          <w:bCs/>
          <w:szCs w:val="21"/>
          <w:highlight w:val="none"/>
          <w:lang w:val="en-US" w:eastAsia="zh-CN"/>
        </w:rPr>
        <w:t>何种植桩技术，</w:t>
      </w:r>
      <w:r>
        <w:rPr>
          <w:rFonts w:hint="eastAsia" w:ascii="宋体" w:hAnsi="宋体"/>
          <w:bCs/>
          <w:szCs w:val="21"/>
          <w:highlight w:val="none"/>
        </w:rPr>
        <w:t>再根据上部荷载形式、使用功能、建筑场地的土层分布情况，选择合适的桩端持力层、</w:t>
      </w:r>
      <w:r>
        <w:rPr>
          <w:rFonts w:hint="eastAsia" w:ascii="宋体" w:hAnsi="宋体"/>
          <w:bCs/>
          <w:szCs w:val="21"/>
          <w:highlight w:val="none"/>
          <w:lang w:val="en-US" w:eastAsia="zh-CN"/>
        </w:rPr>
        <w:t>预制</w:t>
      </w:r>
      <w:r>
        <w:rPr>
          <w:rFonts w:hint="eastAsia" w:ascii="宋体" w:hAnsi="宋体"/>
          <w:bCs/>
          <w:szCs w:val="21"/>
          <w:highlight w:val="none"/>
        </w:rPr>
        <w:t>桩型号和沉桩工艺。设计时进行合理布桩，加强对</w:t>
      </w:r>
      <w:r>
        <w:rPr>
          <w:rFonts w:hint="eastAsia" w:ascii="宋体" w:hAnsi="宋体"/>
          <w:bCs/>
          <w:szCs w:val="21"/>
          <w:highlight w:val="none"/>
          <w:lang w:val="en-US" w:eastAsia="zh-CN"/>
        </w:rPr>
        <w:t>桩基</w:t>
      </w:r>
      <w:r>
        <w:rPr>
          <w:rFonts w:hint="eastAsia" w:ascii="宋体" w:hAnsi="宋体"/>
          <w:bCs/>
          <w:szCs w:val="21"/>
          <w:highlight w:val="none"/>
        </w:rPr>
        <w:t>施工的质量监控，这些都是实现建（构）筑物设计和使用安全的重要影响因素</w:t>
      </w:r>
      <w:r>
        <w:rPr>
          <w:rFonts w:hint="eastAsia" w:ascii="宋体" w:hAnsi="宋体"/>
          <w:bCs/>
          <w:szCs w:val="21"/>
          <w:highlight w:val="none"/>
          <w:lang w:eastAsia="zh-CN"/>
        </w:rPr>
        <w:t>。</w:t>
      </w:r>
    </w:p>
    <w:p w14:paraId="18C03A7A">
      <w:pPr>
        <w:spacing w:line="330" w:lineRule="exact"/>
        <w:rPr>
          <w:rFonts w:hint="eastAsia" w:ascii="宋体" w:hAnsi="宋体"/>
          <w:bCs/>
          <w:szCs w:val="21"/>
          <w:highlight w:val="none"/>
          <w:lang w:eastAsia="zh-CN"/>
        </w:rPr>
      </w:pPr>
      <w:r>
        <w:rPr>
          <w:rFonts w:hint="eastAsia" w:ascii="Times New Roman" w:hAnsi="Times New Roman" w:cs="Times New Roman" w:eastAsiaTheme="minorEastAsia"/>
          <w:b/>
          <w:bCs/>
          <w:szCs w:val="21"/>
          <w:highlight w:val="none"/>
        </w:rPr>
        <w:t>1.0.4</w:t>
      </w:r>
      <w:r>
        <w:rPr>
          <w:rFonts w:hint="eastAsia" w:ascii="宋体" w:hAnsi="宋体"/>
          <w:b/>
          <w:szCs w:val="21"/>
          <w:highlight w:val="none"/>
        </w:rPr>
        <w:t xml:space="preserve"> </w:t>
      </w:r>
      <w:r>
        <w:rPr>
          <w:rFonts w:hint="eastAsia" w:ascii="宋体" w:hAnsi="宋体"/>
          <w:bCs/>
          <w:szCs w:val="21"/>
          <w:highlight w:val="none"/>
          <w:lang w:val="en-US" w:eastAsia="zh-CN"/>
        </w:rPr>
        <w:t>石油化工行业预制桩植桩</w:t>
      </w:r>
      <w:r>
        <w:rPr>
          <w:rFonts w:hint="eastAsia" w:ascii="宋体" w:hAnsi="宋体"/>
          <w:bCs/>
          <w:szCs w:val="21"/>
          <w:highlight w:val="none"/>
        </w:rPr>
        <w:t>基础的设计、</w:t>
      </w:r>
      <w:r>
        <w:rPr>
          <w:rFonts w:hint="eastAsia" w:ascii="宋体" w:hAnsi="宋体"/>
          <w:bCs/>
          <w:szCs w:val="21"/>
          <w:highlight w:val="none"/>
          <w:lang w:val="en-US" w:eastAsia="zh-CN"/>
        </w:rPr>
        <w:t>施工、</w:t>
      </w:r>
      <w:r>
        <w:rPr>
          <w:rFonts w:hint="eastAsia" w:ascii="宋体" w:hAnsi="宋体"/>
          <w:bCs/>
          <w:szCs w:val="21"/>
          <w:highlight w:val="none"/>
        </w:rPr>
        <w:t>检测</w:t>
      </w:r>
      <w:r>
        <w:rPr>
          <w:rFonts w:hint="eastAsia" w:ascii="宋体" w:hAnsi="宋体"/>
          <w:bCs/>
          <w:szCs w:val="21"/>
          <w:highlight w:val="none"/>
          <w:lang w:val="en-US" w:eastAsia="zh-CN"/>
        </w:rPr>
        <w:t>及</w:t>
      </w:r>
      <w:r>
        <w:rPr>
          <w:rFonts w:hint="eastAsia" w:ascii="宋体" w:hAnsi="宋体"/>
          <w:bCs/>
          <w:szCs w:val="21"/>
          <w:highlight w:val="none"/>
        </w:rPr>
        <w:t>验收等应执行本</w:t>
      </w:r>
      <w:r>
        <w:rPr>
          <w:rFonts w:hint="eastAsia" w:ascii="宋体" w:hAnsi="宋体"/>
          <w:bCs/>
          <w:szCs w:val="21"/>
          <w:highlight w:val="none"/>
          <w:lang w:val="en-US" w:eastAsia="zh-CN"/>
        </w:rPr>
        <w:t>规范</w:t>
      </w:r>
      <w:r>
        <w:rPr>
          <w:rFonts w:hint="eastAsia" w:ascii="宋体" w:hAnsi="宋体"/>
          <w:bCs/>
          <w:szCs w:val="21"/>
          <w:highlight w:val="none"/>
        </w:rPr>
        <w:t>的规定。本</w:t>
      </w:r>
      <w:r>
        <w:rPr>
          <w:rFonts w:hint="eastAsia" w:ascii="宋体" w:hAnsi="宋体"/>
          <w:bCs/>
          <w:szCs w:val="21"/>
          <w:highlight w:val="none"/>
          <w:lang w:val="en-US" w:eastAsia="zh-CN"/>
        </w:rPr>
        <w:t>规范</w:t>
      </w:r>
      <w:r>
        <w:rPr>
          <w:rFonts w:hint="eastAsia" w:ascii="宋体" w:hAnsi="宋体"/>
          <w:bCs/>
          <w:szCs w:val="21"/>
          <w:highlight w:val="none"/>
        </w:rPr>
        <w:t>未作规定时，应按现行国家和</w:t>
      </w:r>
      <w:r>
        <w:rPr>
          <w:rFonts w:hint="eastAsia" w:ascii="宋体" w:hAnsi="宋体"/>
          <w:bCs/>
          <w:szCs w:val="21"/>
          <w:highlight w:val="none"/>
          <w:lang w:val="en-US" w:eastAsia="zh-CN"/>
        </w:rPr>
        <w:t>行业</w:t>
      </w:r>
      <w:r>
        <w:rPr>
          <w:rFonts w:hint="eastAsia" w:ascii="宋体" w:hAnsi="宋体"/>
          <w:bCs/>
          <w:szCs w:val="21"/>
          <w:highlight w:val="none"/>
        </w:rPr>
        <w:t>有关标准执行。</w:t>
      </w:r>
    </w:p>
    <w:p w14:paraId="37A76B6C">
      <w:pPr>
        <w:pStyle w:val="2"/>
        <w:spacing w:before="156" w:after="156"/>
        <w:rPr>
          <w:szCs w:val="21"/>
          <w:highlight w:val="none"/>
        </w:rPr>
      </w:pPr>
      <w:bookmarkStart w:id="206" w:name="_Toc27704"/>
      <w:bookmarkStart w:id="207" w:name="_Toc13077"/>
      <w:bookmarkStart w:id="208" w:name="_Toc318"/>
      <w:bookmarkStart w:id="209" w:name="_Toc4519"/>
      <w:bookmarkStart w:id="210" w:name="_Toc22224"/>
      <w:bookmarkStart w:id="211" w:name="_Toc23445"/>
      <w:bookmarkStart w:id="212" w:name="_Toc10830"/>
      <w:bookmarkStart w:id="213" w:name="_2 术语和符号"/>
      <w:bookmarkStart w:id="214" w:name="_2  术语和符号"/>
      <w:r>
        <w:rPr>
          <w:rFonts w:hint="default" w:ascii="Times New Roman" w:hAnsi="Times New Roman" w:cs="Times New Roman"/>
          <w:highlight w:val="none"/>
        </w:rPr>
        <w:t xml:space="preserve">2 </w:t>
      </w:r>
      <w:r>
        <w:rPr>
          <w:rFonts w:hint="eastAsia"/>
          <w:highlight w:val="none"/>
        </w:rPr>
        <w:t>术语和符号</w:t>
      </w:r>
      <w:bookmarkEnd w:id="206"/>
      <w:bookmarkEnd w:id="207"/>
      <w:bookmarkEnd w:id="208"/>
      <w:bookmarkEnd w:id="209"/>
      <w:bookmarkEnd w:id="210"/>
      <w:bookmarkEnd w:id="211"/>
      <w:bookmarkEnd w:id="212"/>
    </w:p>
    <w:bookmarkEnd w:id="213"/>
    <w:bookmarkEnd w:id="214"/>
    <w:p w14:paraId="5CBC303C">
      <w:pPr>
        <w:pStyle w:val="3"/>
        <w:spacing w:before="312" w:after="312"/>
        <w:rPr>
          <w:rFonts w:ascii="黑体" w:hAnsi="黑体"/>
          <w:highlight w:val="none"/>
        </w:rPr>
      </w:pPr>
      <w:bookmarkStart w:id="215" w:name="_Toc1054"/>
      <w:bookmarkStart w:id="216" w:name="_Toc22851"/>
      <w:bookmarkStart w:id="217" w:name="_Toc12225"/>
      <w:bookmarkStart w:id="218" w:name="_Toc3829"/>
      <w:bookmarkStart w:id="219" w:name="_Toc27205"/>
      <w:bookmarkStart w:id="220" w:name="_Toc12826"/>
      <w:bookmarkStart w:id="221" w:name="_Toc22343"/>
      <w:bookmarkStart w:id="222" w:name="_Toc5520"/>
      <w:bookmarkStart w:id="223" w:name="_2.1  术  语"/>
      <w:r>
        <w:rPr>
          <w:rFonts w:hint="default" w:ascii="Times New Roman" w:hAnsi="Times New Roman" w:cs="Times New Roman"/>
          <w:highlight w:val="none"/>
        </w:rPr>
        <w:t>2.1</w:t>
      </w:r>
      <w:r>
        <w:rPr>
          <w:rFonts w:hint="eastAsia" w:ascii="Times New Roman" w:hAnsi="Times New Roman" w:cs="Times New Roman"/>
          <w:highlight w:val="none"/>
        </w:rPr>
        <w:t xml:space="preserve">  </w:t>
      </w:r>
      <w:r>
        <w:rPr>
          <w:rFonts w:hint="eastAsia" w:ascii="黑体" w:hAnsi="黑体"/>
          <w:highlight w:val="none"/>
        </w:rPr>
        <w:t>术  语</w:t>
      </w:r>
      <w:bookmarkEnd w:id="215"/>
      <w:bookmarkEnd w:id="216"/>
      <w:bookmarkEnd w:id="217"/>
      <w:bookmarkEnd w:id="218"/>
      <w:bookmarkEnd w:id="219"/>
      <w:bookmarkEnd w:id="220"/>
      <w:bookmarkEnd w:id="221"/>
      <w:bookmarkEnd w:id="222"/>
    </w:p>
    <w:bookmarkEnd w:id="223"/>
    <w:p w14:paraId="676EB530">
      <w:pPr>
        <w:spacing w:line="312" w:lineRule="exact"/>
        <w:rPr>
          <w:rFonts w:hint="eastAsia" w:ascii="宋体" w:hAnsi="宋体"/>
          <w:szCs w:val="21"/>
          <w:highlight w:val="none"/>
        </w:rPr>
      </w:pPr>
      <w:r>
        <w:rPr>
          <w:rFonts w:hint="eastAsia" w:ascii="Times New Roman" w:hAnsi="Times New Roman" w:cs="Times New Roman" w:eastAsiaTheme="minorEastAsia"/>
          <w:b/>
          <w:bCs/>
          <w:szCs w:val="21"/>
          <w:highlight w:val="none"/>
        </w:rPr>
        <w:t>2.1.1</w:t>
      </w:r>
      <w:r>
        <w:rPr>
          <w:rFonts w:hint="eastAsia" w:ascii="宋体" w:hAnsi="宋体"/>
          <w:szCs w:val="21"/>
          <w:highlight w:val="none"/>
        </w:rPr>
        <w:t xml:space="preserve"> </w:t>
      </w:r>
      <w:r>
        <w:rPr>
          <w:rFonts w:hint="eastAsia" w:ascii="宋体" w:hAnsi="宋体"/>
          <w:bCs/>
          <w:szCs w:val="21"/>
          <w:highlight w:val="none"/>
          <w:lang w:val="en-US" w:eastAsia="zh-CN"/>
        </w:rPr>
        <w:t>本规范规定了搅拌植桩、高压旋喷植桩、旋挖植桩和长螺旋压灌植桩四种桩型，为方便对其进行描述，现将其统一命名为预制桩植桩</w:t>
      </w:r>
      <w:r>
        <w:rPr>
          <w:rFonts w:hint="eastAsia" w:ascii="宋体" w:hAnsi="宋体"/>
          <w:szCs w:val="21"/>
          <w:highlight w:val="none"/>
        </w:rPr>
        <w:t>。</w:t>
      </w:r>
    </w:p>
    <w:p w14:paraId="562257BA">
      <w:pPr>
        <w:spacing w:line="312" w:lineRule="exact"/>
        <w:rPr>
          <w:rFonts w:hint="eastAsia" w:ascii="宋体" w:hAnsi="宋体"/>
          <w:szCs w:val="21"/>
          <w:highlight w:val="none"/>
        </w:rPr>
      </w:pPr>
      <w:r>
        <w:rPr>
          <w:rFonts w:hint="eastAsia" w:ascii="Times New Roman" w:hAnsi="Times New Roman" w:cs="Times New Roman" w:eastAsiaTheme="minorEastAsia"/>
          <w:b/>
          <w:bCs/>
          <w:szCs w:val="21"/>
          <w:highlight w:val="none"/>
        </w:rPr>
        <w:t>2.1.</w:t>
      </w:r>
      <w:r>
        <w:rPr>
          <w:rFonts w:hint="eastAsia" w:ascii="Times New Roman" w:hAnsi="Times New Roman" w:cs="Times New Roman" w:eastAsiaTheme="minorEastAsia"/>
          <w:b/>
          <w:bCs/>
          <w:szCs w:val="21"/>
          <w:highlight w:val="none"/>
          <w:lang w:val="en-US" w:eastAsia="zh-CN"/>
        </w:rPr>
        <w:t>2~2.1.5</w:t>
      </w:r>
      <w:r>
        <w:rPr>
          <w:rFonts w:hint="eastAsia" w:ascii="宋体" w:hAnsi="宋体"/>
          <w:szCs w:val="21"/>
          <w:highlight w:val="none"/>
        </w:rPr>
        <w:t xml:space="preserve"> </w:t>
      </w:r>
      <w:r>
        <w:rPr>
          <w:rFonts w:hint="eastAsia" w:ascii="宋体" w:hAnsi="宋体"/>
          <w:bCs/>
          <w:szCs w:val="21"/>
          <w:highlight w:val="none"/>
          <w:lang w:val="en-US" w:eastAsia="zh-CN"/>
        </w:rPr>
        <w:t>分别规定了搅拌植桩、高压旋喷植桩、旋挖植桩和长螺旋压灌植桩四种桩型的定义</w:t>
      </w:r>
      <w:r>
        <w:rPr>
          <w:rFonts w:hint="eastAsia" w:ascii="宋体" w:hAnsi="宋体"/>
          <w:szCs w:val="21"/>
          <w:highlight w:val="none"/>
        </w:rPr>
        <w:t>。</w:t>
      </w:r>
    </w:p>
    <w:p w14:paraId="0C3991F3">
      <w:pPr>
        <w:pStyle w:val="3"/>
        <w:spacing w:before="312" w:after="312"/>
        <w:rPr>
          <w:highlight w:val="none"/>
        </w:rPr>
      </w:pPr>
      <w:bookmarkStart w:id="224" w:name="_Toc9444"/>
      <w:bookmarkStart w:id="225" w:name="_Toc2006"/>
      <w:bookmarkStart w:id="226" w:name="_Toc28666"/>
      <w:bookmarkStart w:id="227" w:name="_Toc26116"/>
      <w:bookmarkStart w:id="228" w:name="_Toc31850"/>
      <w:bookmarkStart w:id="229" w:name="_Toc21295"/>
      <w:bookmarkStart w:id="230" w:name="_Toc21574"/>
      <w:bookmarkStart w:id="231" w:name="_Toc25655"/>
      <w:bookmarkStart w:id="232" w:name="_2.2  符  号"/>
      <w:r>
        <w:rPr>
          <w:rFonts w:hint="eastAsia" w:ascii="Times New Roman" w:hAnsi="Times New Roman" w:cs="Times New Roman"/>
          <w:highlight w:val="none"/>
        </w:rPr>
        <w:t xml:space="preserve">2.2  </w:t>
      </w:r>
      <w:r>
        <w:rPr>
          <w:rFonts w:hint="eastAsia" w:ascii="黑体" w:hAnsi="黑体"/>
          <w:highlight w:val="none"/>
        </w:rPr>
        <w:t>符  号</w:t>
      </w:r>
      <w:bookmarkEnd w:id="224"/>
      <w:bookmarkEnd w:id="225"/>
      <w:bookmarkEnd w:id="226"/>
      <w:bookmarkEnd w:id="227"/>
      <w:bookmarkEnd w:id="228"/>
      <w:bookmarkEnd w:id="229"/>
      <w:bookmarkEnd w:id="230"/>
      <w:bookmarkEnd w:id="231"/>
    </w:p>
    <w:bookmarkEnd w:id="232"/>
    <w:p w14:paraId="7C703152">
      <w:pPr>
        <w:spacing w:line="312" w:lineRule="exact"/>
        <w:ind w:firstLine="420" w:firstLineChars="200"/>
        <w:rPr>
          <w:rFonts w:ascii="宋体" w:hAnsi="宋体"/>
          <w:b/>
          <w:szCs w:val="21"/>
          <w:highlight w:val="none"/>
        </w:rPr>
      </w:pPr>
      <w:r>
        <w:rPr>
          <w:rFonts w:hint="eastAsia" w:ascii="宋体" w:hAnsi="宋体"/>
          <w:szCs w:val="21"/>
          <w:highlight w:val="none"/>
        </w:rPr>
        <w:t>本节符号主要引用了《建筑地基基础设计规范》</w:t>
      </w:r>
      <w:r>
        <w:rPr>
          <w:rFonts w:hint="default" w:ascii="Times New Roman" w:hAnsi="Times New Roman" w:cs="Times New Roman"/>
          <w:szCs w:val="21"/>
          <w:highlight w:val="none"/>
        </w:rPr>
        <w:t>GB 50007</w:t>
      </w:r>
      <w:r>
        <w:rPr>
          <w:rFonts w:hint="eastAsia" w:ascii="宋体" w:hAnsi="宋体"/>
          <w:szCs w:val="21"/>
          <w:highlight w:val="none"/>
        </w:rPr>
        <w:t>、《建筑桩基技术规范》J</w:t>
      </w:r>
      <w:r>
        <w:rPr>
          <w:rFonts w:hint="default" w:ascii="Times New Roman" w:hAnsi="Times New Roman" w:cs="Times New Roman"/>
          <w:szCs w:val="21"/>
          <w:highlight w:val="none"/>
        </w:rPr>
        <w:t>GJ 94</w:t>
      </w:r>
      <w:r>
        <w:rPr>
          <w:rFonts w:hint="eastAsia" w:ascii="宋体" w:hAnsi="宋体"/>
          <w:szCs w:val="21"/>
          <w:highlight w:val="none"/>
        </w:rPr>
        <w:t>中的符号，并根据本</w:t>
      </w:r>
      <w:r>
        <w:rPr>
          <w:rFonts w:hint="eastAsia" w:ascii="宋体" w:hAnsi="宋体"/>
          <w:szCs w:val="21"/>
          <w:highlight w:val="none"/>
          <w:lang w:val="en-US" w:eastAsia="zh-CN"/>
        </w:rPr>
        <w:t>规范</w:t>
      </w:r>
      <w:r>
        <w:rPr>
          <w:rFonts w:hint="eastAsia" w:ascii="宋体" w:hAnsi="宋体"/>
          <w:szCs w:val="21"/>
          <w:highlight w:val="none"/>
        </w:rPr>
        <w:t>条文内容作了相应调整。另增加了一些与本</w:t>
      </w:r>
      <w:r>
        <w:rPr>
          <w:rFonts w:hint="eastAsia" w:ascii="宋体" w:hAnsi="宋体"/>
          <w:szCs w:val="21"/>
          <w:highlight w:val="none"/>
          <w:lang w:val="en-US" w:eastAsia="zh-CN"/>
        </w:rPr>
        <w:t>规范</w:t>
      </w:r>
      <w:r>
        <w:rPr>
          <w:rFonts w:hint="eastAsia" w:ascii="宋体" w:hAnsi="宋体"/>
          <w:szCs w:val="21"/>
          <w:highlight w:val="none"/>
        </w:rPr>
        <w:t>相关的符号。</w:t>
      </w:r>
    </w:p>
    <w:p w14:paraId="2968FD11">
      <w:pPr>
        <w:jc w:val="left"/>
        <w:rPr>
          <w:rFonts w:ascii="黑体" w:hAnsi="宋体" w:eastAsia="黑体"/>
          <w:sz w:val="28"/>
          <w:szCs w:val="28"/>
          <w:highlight w:val="none"/>
        </w:rPr>
      </w:pPr>
      <w:r>
        <w:rPr>
          <w:rFonts w:hint="eastAsia" w:ascii="黑体" w:hAnsi="宋体" w:eastAsia="黑体"/>
          <w:sz w:val="28"/>
          <w:szCs w:val="28"/>
          <w:highlight w:val="none"/>
        </w:rPr>
        <w:br w:type="page"/>
      </w:r>
    </w:p>
    <w:p w14:paraId="05393CA7">
      <w:pPr>
        <w:pStyle w:val="2"/>
        <w:spacing w:before="156" w:after="156"/>
        <w:rPr>
          <w:highlight w:val="none"/>
        </w:rPr>
      </w:pPr>
      <w:bookmarkStart w:id="233" w:name="_Toc18693"/>
      <w:bookmarkStart w:id="234" w:name="_Toc2430"/>
      <w:bookmarkStart w:id="235" w:name="_Toc25494"/>
      <w:bookmarkStart w:id="236" w:name="_Toc17932"/>
      <w:bookmarkStart w:id="237" w:name="_Toc13608"/>
      <w:bookmarkStart w:id="238" w:name="_Toc7430"/>
      <w:bookmarkStart w:id="239" w:name="_Toc28030"/>
      <w:bookmarkStart w:id="240" w:name="_3  基本规定"/>
      <w:bookmarkStart w:id="241" w:name="_3 基本规定_1"/>
      <w:r>
        <w:rPr>
          <w:rFonts w:hint="eastAsia" w:ascii="Times New Roman" w:hAnsi="Times New Roman" w:cs="Times New Roman"/>
          <w:highlight w:val="none"/>
        </w:rPr>
        <w:t xml:space="preserve">3 </w:t>
      </w:r>
      <w:r>
        <w:rPr>
          <w:rFonts w:hint="eastAsia"/>
          <w:highlight w:val="none"/>
        </w:rPr>
        <w:t>基本规定</w:t>
      </w:r>
      <w:bookmarkEnd w:id="233"/>
      <w:bookmarkEnd w:id="234"/>
      <w:bookmarkEnd w:id="235"/>
      <w:bookmarkEnd w:id="236"/>
      <w:bookmarkEnd w:id="237"/>
      <w:bookmarkEnd w:id="238"/>
      <w:bookmarkEnd w:id="239"/>
    </w:p>
    <w:bookmarkEnd w:id="240"/>
    <w:bookmarkEnd w:id="241"/>
    <w:p w14:paraId="541FFB4E">
      <w:pPr>
        <w:spacing w:line="312" w:lineRule="exact"/>
        <w:jc w:val="left"/>
        <w:rPr>
          <w:rFonts w:hint="eastAsia" w:ascii="宋体" w:hAnsi="宋体"/>
          <w:bCs/>
          <w:szCs w:val="21"/>
          <w:highlight w:val="none"/>
          <w:lang w:eastAsia="zh-CN"/>
        </w:rPr>
      </w:pPr>
      <w:r>
        <w:rPr>
          <w:rFonts w:hint="eastAsia" w:ascii="Times New Roman" w:hAnsi="Times New Roman" w:cs="Times New Roman" w:eastAsiaTheme="minorEastAsia"/>
          <w:b/>
          <w:bCs/>
          <w:szCs w:val="21"/>
          <w:highlight w:val="none"/>
        </w:rPr>
        <w:t>3.0.</w:t>
      </w:r>
      <w:r>
        <w:rPr>
          <w:rFonts w:hint="eastAsia" w:ascii="Times New Roman" w:hAnsi="Times New Roman" w:cs="Times New Roman" w:eastAsiaTheme="minorEastAsia"/>
          <w:b/>
          <w:bCs/>
          <w:szCs w:val="21"/>
          <w:highlight w:val="none"/>
          <w:lang w:val="en-US" w:eastAsia="zh-CN"/>
        </w:rPr>
        <w:t>1</w:t>
      </w:r>
      <w:r>
        <w:rPr>
          <w:rFonts w:hint="eastAsia" w:ascii="宋体" w:hAnsi="宋体"/>
          <w:bCs/>
          <w:szCs w:val="21"/>
          <w:highlight w:val="none"/>
        </w:rPr>
        <w:t xml:space="preserve"> </w:t>
      </w:r>
      <w:r>
        <w:rPr>
          <w:rFonts w:hint="default" w:ascii="Times New Roman" w:hAnsi="Times New Roman" w:eastAsiaTheme="minorEastAsia"/>
          <w:szCs w:val="21"/>
          <w:highlight w:val="none"/>
        </w:rPr>
        <w:t>预制</w:t>
      </w:r>
      <w:r>
        <w:rPr>
          <w:rFonts w:hint="eastAsia" w:ascii="Times New Roman" w:hAnsi="Times New Roman" w:eastAsiaTheme="minorEastAsia"/>
          <w:szCs w:val="21"/>
          <w:highlight w:val="none"/>
          <w:lang w:val="en-US" w:eastAsia="zh-CN"/>
        </w:rPr>
        <w:t>桩植</w:t>
      </w:r>
      <w:r>
        <w:rPr>
          <w:rFonts w:hint="default" w:ascii="Times New Roman" w:hAnsi="Times New Roman" w:eastAsiaTheme="minorEastAsia"/>
          <w:szCs w:val="21"/>
          <w:highlight w:val="none"/>
        </w:rPr>
        <w:t>桩</w:t>
      </w:r>
      <w:r>
        <w:rPr>
          <w:rFonts w:hint="eastAsia" w:ascii="Times New Roman" w:hAnsi="Times New Roman" w:eastAsiaTheme="minorEastAsia"/>
          <w:szCs w:val="21"/>
          <w:highlight w:val="none"/>
          <w:lang w:val="en-US" w:eastAsia="zh-CN"/>
        </w:rPr>
        <w:t>进行岩土工程勘察时，应重点查明各土层的厚度和组成、土的含水率、密实度、颗粒组成及含量、胶结情况、塑形指数、有机质含量、地下水位、ph值、腐蚀性等</w:t>
      </w:r>
      <w:r>
        <w:rPr>
          <w:rFonts w:hint="eastAsia" w:ascii="宋体" w:hAnsi="宋体"/>
          <w:bCs/>
          <w:szCs w:val="21"/>
          <w:highlight w:val="none"/>
          <w:lang w:eastAsia="zh-CN"/>
        </w:rPr>
        <w:t>。</w:t>
      </w:r>
    </w:p>
    <w:p w14:paraId="19865F36">
      <w:pPr>
        <w:pStyle w:val="2"/>
        <w:spacing w:before="156" w:after="156"/>
        <w:rPr>
          <w:rFonts w:hint="eastAsia" w:ascii="Times New Roman" w:hAnsi="Times New Roman" w:cs="Times New Roman"/>
          <w:highlight w:val="none"/>
          <w:lang w:val="en-US" w:eastAsia="zh-CN"/>
        </w:rPr>
      </w:pPr>
      <w:bookmarkStart w:id="242" w:name="__x000F_4 设计_1"/>
      <w:bookmarkStart w:id="243" w:name="__x000F_4 设计_1"/>
      <w:bookmarkStart w:id="244" w:name="__x000F_4 设计_1"/>
      <w:r>
        <w:rPr>
          <w:rFonts w:hint="eastAsia" w:ascii="宋体" w:hAnsi="宋体"/>
          <w:bCs/>
          <w:szCs w:val="21"/>
          <w:highlight w:val="none"/>
        </w:rPr>
        <w:br w:type="page"/>
      </w:r>
      <w:bookmarkStart w:id="245" w:name="_Toc5018"/>
      <w:bookmarkStart w:id="246" w:name="_Toc31815"/>
      <w:r>
        <w:rPr>
          <w:rFonts w:hint="eastAsia" w:ascii="Times New Roman" w:hAnsi="Times New Roman" w:cs="Times New Roman"/>
          <w:highlight w:val="none"/>
          <w:lang w:val="en-US" w:eastAsia="zh-CN"/>
        </w:rPr>
        <w:t xml:space="preserve">4 </w:t>
      </w:r>
      <w:bookmarkEnd w:id="245"/>
      <w:bookmarkStart w:id="247" w:name="_Toc726"/>
      <w:bookmarkStart w:id="248" w:name="_Toc2895"/>
      <w:r>
        <w:rPr>
          <w:rFonts w:hint="eastAsia" w:ascii="Times New Roman" w:hAnsi="Times New Roman" w:cs="Times New Roman"/>
          <w:highlight w:val="none"/>
          <w:lang w:val="en-US" w:eastAsia="zh-CN"/>
        </w:rPr>
        <w:t>设计</w:t>
      </w:r>
      <w:bookmarkEnd w:id="246"/>
      <w:bookmarkEnd w:id="247"/>
      <w:bookmarkEnd w:id="248"/>
    </w:p>
    <w:bookmarkEnd w:id="242"/>
    <w:bookmarkEnd w:id="243"/>
    <w:bookmarkEnd w:id="244"/>
    <w:p w14:paraId="3D47ACEB">
      <w:pPr>
        <w:pStyle w:val="3"/>
        <w:spacing w:before="312" w:after="312"/>
        <w:rPr>
          <w:rFonts w:ascii="黑体" w:hAnsi="黑体"/>
          <w:highlight w:val="none"/>
        </w:rPr>
      </w:pPr>
      <w:bookmarkStart w:id="249" w:name="_Toc32738"/>
      <w:bookmarkStart w:id="250" w:name="_Toc32397"/>
      <w:bookmarkStart w:id="251" w:name="_Toc16297"/>
      <w:bookmarkStart w:id="252" w:name="_Toc23106"/>
      <w:bookmarkStart w:id="253" w:name="_Toc18035"/>
      <w:bookmarkStart w:id="254" w:name="_Toc11242"/>
      <w:bookmarkStart w:id="255" w:name="_Toc3239"/>
      <w:bookmarkStart w:id="256" w:name="_4.1 一般规定_1"/>
      <w:r>
        <w:rPr>
          <w:rFonts w:hint="eastAsia" w:ascii="Times New Roman" w:hAnsi="Times New Roman" w:cs="Times New Roman"/>
          <w:highlight w:val="none"/>
        </w:rPr>
        <w:t xml:space="preserve">4.1 </w:t>
      </w:r>
      <w:r>
        <w:rPr>
          <w:rFonts w:hint="eastAsia" w:ascii="黑体" w:hAnsi="黑体"/>
          <w:highlight w:val="none"/>
          <w:lang w:val="en-US" w:eastAsia="zh-CN"/>
        </w:rPr>
        <w:t>一般规定</w:t>
      </w:r>
      <w:bookmarkEnd w:id="249"/>
      <w:bookmarkEnd w:id="250"/>
      <w:bookmarkEnd w:id="251"/>
      <w:bookmarkEnd w:id="252"/>
      <w:bookmarkEnd w:id="253"/>
      <w:bookmarkEnd w:id="254"/>
      <w:bookmarkEnd w:id="255"/>
    </w:p>
    <w:bookmarkEnd w:id="256"/>
    <w:p w14:paraId="4B394410">
      <w:pPr>
        <w:spacing w:line="340" w:lineRule="exact"/>
        <w:rPr>
          <w:rFonts w:hint="eastAsia" w:ascii="宋体" w:hAnsi="宋体"/>
          <w:szCs w:val="21"/>
          <w:highlight w:val="none"/>
        </w:rPr>
      </w:pPr>
      <w:r>
        <w:rPr>
          <w:rFonts w:hint="eastAsia" w:ascii="Times New Roman" w:hAnsi="Times New Roman" w:cs="Times New Roman" w:eastAsiaTheme="minorEastAsia"/>
          <w:b/>
          <w:bCs/>
          <w:szCs w:val="21"/>
          <w:highlight w:val="none"/>
        </w:rPr>
        <w:t>4.1.</w:t>
      </w:r>
      <w:r>
        <w:rPr>
          <w:rFonts w:hint="eastAsia" w:ascii="Times New Roman" w:hAnsi="Times New Roman" w:cs="Times New Roman" w:eastAsiaTheme="minorEastAsia"/>
          <w:b/>
          <w:bCs/>
          <w:szCs w:val="21"/>
          <w:highlight w:val="none"/>
          <w:lang w:val="en-US" w:eastAsia="zh-CN"/>
        </w:rPr>
        <w:t>1</w:t>
      </w:r>
      <w:r>
        <w:rPr>
          <w:rFonts w:hint="eastAsia" w:ascii="Times New Roman" w:hAnsi="Times New Roman" w:cs="Times New Roman" w:eastAsiaTheme="minorEastAsia"/>
          <w:szCs w:val="21"/>
          <w:highlight w:val="none"/>
        </w:rPr>
        <w:t xml:space="preserve"> </w:t>
      </w:r>
      <w:r>
        <w:rPr>
          <w:rFonts w:hint="eastAsia" w:ascii="Times New Roman" w:hAnsi="Times New Roman" w:cs="Times New Roman" w:eastAsiaTheme="minorEastAsia"/>
          <w:szCs w:val="21"/>
          <w:highlight w:val="none"/>
          <w:lang w:val="en-US" w:eastAsia="zh-CN"/>
        </w:rPr>
        <w:t>在确定水灰比时，</w:t>
      </w:r>
      <w:r>
        <w:rPr>
          <w:rFonts w:hint="eastAsia" w:ascii="宋体" w:hAnsi="宋体"/>
          <w:szCs w:val="21"/>
          <w:highlight w:val="none"/>
          <w:lang w:eastAsia="zh-CN"/>
        </w:rPr>
        <w:t>地下水位以下部位可适当降低。</w:t>
      </w:r>
    </w:p>
    <w:p w14:paraId="36C84A4E">
      <w:pPr>
        <w:spacing w:line="340" w:lineRule="exact"/>
        <w:rPr>
          <w:rFonts w:hint="eastAsia" w:ascii="宋体" w:hAnsi="宋体"/>
          <w:szCs w:val="21"/>
          <w:highlight w:val="none"/>
        </w:rPr>
      </w:pPr>
      <w:r>
        <w:rPr>
          <w:rFonts w:hint="eastAsia" w:ascii="Times New Roman" w:hAnsi="Times New Roman" w:cs="Times New Roman" w:eastAsiaTheme="minorEastAsia"/>
          <w:b/>
          <w:bCs/>
          <w:szCs w:val="21"/>
          <w:highlight w:val="none"/>
        </w:rPr>
        <w:t>4.1.</w:t>
      </w:r>
      <w:r>
        <w:rPr>
          <w:rFonts w:hint="eastAsia" w:ascii="Times New Roman" w:hAnsi="Times New Roman" w:cs="Times New Roman" w:eastAsiaTheme="minorEastAsia"/>
          <w:b/>
          <w:bCs/>
          <w:szCs w:val="21"/>
          <w:highlight w:val="none"/>
          <w:lang w:val="en-US" w:eastAsia="zh-CN"/>
        </w:rPr>
        <w:t>2</w:t>
      </w:r>
      <w:r>
        <w:rPr>
          <w:rFonts w:hint="eastAsia" w:ascii="Times New Roman" w:hAnsi="Times New Roman" w:cs="Times New Roman" w:eastAsiaTheme="minorEastAsia"/>
          <w:szCs w:val="21"/>
          <w:highlight w:val="none"/>
        </w:rPr>
        <w:t xml:space="preserve"> </w:t>
      </w:r>
      <w:r>
        <w:rPr>
          <w:rFonts w:hint="eastAsia" w:ascii="宋体" w:hAnsi="宋体"/>
          <w:szCs w:val="21"/>
          <w:highlight w:val="none"/>
          <w:lang w:eastAsia="zh-CN"/>
        </w:rPr>
        <w:t>关于桩基承载力计算和稳定性验算，是承载能力极限状态设计的具体内容，应结合工程具体条件有针对性地进行计算或验算。</w:t>
      </w:r>
    </w:p>
    <w:p w14:paraId="0C0BD834">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rPr>
        <w:t>4.1.</w:t>
      </w:r>
      <w:r>
        <w:rPr>
          <w:rFonts w:hint="eastAsia" w:ascii="Times New Roman" w:hAnsi="Times New Roman" w:cs="Times New Roman" w:eastAsiaTheme="minorEastAsia"/>
          <w:b/>
          <w:bCs/>
          <w:szCs w:val="21"/>
          <w:highlight w:val="none"/>
          <w:lang w:val="en-US" w:eastAsia="zh-CN"/>
        </w:rPr>
        <w:t>3</w:t>
      </w:r>
      <w:r>
        <w:rPr>
          <w:rFonts w:hint="eastAsia" w:ascii="宋体" w:hAnsi="宋体"/>
          <w:szCs w:val="21"/>
          <w:highlight w:val="none"/>
        </w:rPr>
        <w:t xml:space="preserve"> </w:t>
      </w:r>
      <w:r>
        <w:rPr>
          <w:rFonts w:hint="eastAsia" w:ascii="宋体" w:hAnsi="宋体"/>
          <w:szCs w:val="21"/>
          <w:highlight w:val="none"/>
          <w:lang w:eastAsia="zh-CN"/>
        </w:rPr>
        <w:t>本条规定了桩基设计时所采用的作用效应组合和抗力。</w:t>
      </w:r>
      <w:r>
        <w:rPr>
          <w:rFonts w:hint="eastAsia" w:ascii="宋体" w:hAnsi="宋体"/>
          <w:szCs w:val="21"/>
          <w:highlight w:val="none"/>
          <w:lang w:val="en-US" w:eastAsia="zh-CN"/>
        </w:rPr>
        <w:t>同时应</w:t>
      </w:r>
      <w:r>
        <w:rPr>
          <w:rFonts w:hint="eastAsia" w:ascii="宋体" w:hAnsi="宋体"/>
          <w:szCs w:val="21"/>
          <w:highlight w:val="none"/>
          <w:lang w:eastAsia="zh-CN"/>
        </w:rPr>
        <w:t>与</w:t>
      </w:r>
      <w:r>
        <w:rPr>
          <w:rFonts w:hint="eastAsia" w:ascii="宋体" w:hAnsi="宋体"/>
          <w:szCs w:val="21"/>
          <w:highlight w:val="none"/>
          <w:lang w:val="en-US" w:eastAsia="zh-CN"/>
        </w:rPr>
        <w:t>石化行业相关标准及</w:t>
      </w:r>
      <w:r>
        <w:rPr>
          <w:rFonts w:hint="eastAsia" w:ascii="宋体" w:hAnsi="宋体"/>
          <w:szCs w:val="21"/>
          <w:highlight w:val="none"/>
          <w:lang w:eastAsia="zh-CN"/>
        </w:rPr>
        <w:t>国家现行标准《建筑地基基础设计规范》</w:t>
      </w:r>
      <w:r>
        <w:rPr>
          <w:rFonts w:hint="default" w:ascii="Times New Roman" w:hAnsi="Times New Roman" w:cs="Times New Roman"/>
          <w:szCs w:val="21"/>
          <w:highlight w:val="none"/>
          <w:lang w:eastAsia="zh-CN"/>
        </w:rPr>
        <w:t>GB 50007</w:t>
      </w:r>
      <w:r>
        <w:rPr>
          <w:rFonts w:hint="eastAsia" w:ascii="宋体" w:hAnsi="宋体"/>
          <w:szCs w:val="21"/>
          <w:highlight w:val="none"/>
          <w:lang w:eastAsia="zh-CN"/>
        </w:rPr>
        <w:t>、《建筑桩基技术规范》</w:t>
      </w:r>
      <w:r>
        <w:rPr>
          <w:rFonts w:hint="default" w:ascii="Times New Roman" w:hAnsi="Times New Roman" w:cs="Times New Roman"/>
          <w:szCs w:val="21"/>
          <w:highlight w:val="none"/>
          <w:lang w:eastAsia="zh-CN"/>
        </w:rPr>
        <w:t>JGJ 94</w:t>
      </w:r>
      <w:r>
        <w:rPr>
          <w:rFonts w:hint="eastAsia" w:ascii="宋体" w:hAnsi="宋体"/>
          <w:szCs w:val="21"/>
          <w:highlight w:val="none"/>
          <w:lang w:eastAsia="zh-CN"/>
        </w:rPr>
        <w:t>等协调。</w:t>
      </w:r>
    </w:p>
    <w:p w14:paraId="401B486C">
      <w:pPr>
        <w:spacing w:line="340" w:lineRule="exact"/>
        <w:rPr>
          <w:rFonts w:hint="eastAsia" w:ascii="宋体" w:hAnsi="宋体"/>
          <w:bCs/>
          <w:szCs w:val="21"/>
          <w:highlight w:val="none"/>
          <w:lang w:val="en-US" w:eastAsia="zh-CN"/>
        </w:rPr>
      </w:pPr>
      <w:r>
        <w:rPr>
          <w:rFonts w:hint="eastAsia" w:ascii="Times New Roman" w:hAnsi="Times New Roman" w:cs="Times New Roman" w:eastAsiaTheme="minorEastAsia"/>
          <w:b/>
          <w:bCs/>
          <w:szCs w:val="21"/>
          <w:highlight w:val="none"/>
        </w:rPr>
        <w:t>4.</w:t>
      </w:r>
      <w:r>
        <w:rPr>
          <w:rFonts w:hint="eastAsia" w:ascii="Times New Roman" w:hAnsi="Times New Roman" w:cs="Times New Roman" w:eastAsiaTheme="minorEastAsia"/>
          <w:b/>
          <w:bCs/>
          <w:szCs w:val="21"/>
          <w:highlight w:val="none"/>
          <w:lang w:val="en-US" w:eastAsia="zh-CN"/>
        </w:rPr>
        <w:t>1</w:t>
      </w:r>
      <w:r>
        <w:rPr>
          <w:rFonts w:hint="eastAsia" w:ascii="Times New Roman" w:hAnsi="Times New Roman" w:cs="Times New Roman" w:eastAsiaTheme="minorEastAsia"/>
          <w:b/>
          <w:bCs/>
          <w:szCs w:val="21"/>
          <w:highlight w:val="none"/>
        </w:rPr>
        <w:t>.</w:t>
      </w:r>
      <w:r>
        <w:rPr>
          <w:rFonts w:hint="eastAsia" w:ascii="Times New Roman" w:hAnsi="Times New Roman" w:cs="Times New Roman" w:eastAsiaTheme="minorEastAsia"/>
          <w:b/>
          <w:bCs/>
          <w:szCs w:val="21"/>
          <w:highlight w:val="none"/>
          <w:lang w:val="en-US" w:eastAsia="zh-CN"/>
        </w:rPr>
        <w:t>5</w:t>
      </w:r>
      <w:r>
        <w:rPr>
          <w:rFonts w:hint="eastAsia" w:ascii="宋体" w:hAnsi="宋体"/>
          <w:bCs/>
          <w:szCs w:val="21"/>
          <w:highlight w:val="none"/>
        </w:rPr>
        <w:t xml:space="preserve"> </w:t>
      </w:r>
      <w:r>
        <w:rPr>
          <w:rFonts w:hint="eastAsia" w:ascii="宋体" w:hAnsi="宋体"/>
          <w:bCs/>
          <w:szCs w:val="21"/>
          <w:highlight w:val="none"/>
          <w:lang w:val="en-US" w:eastAsia="zh-CN"/>
        </w:rPr>
        <w:t>预制桩植桩用于腐蚀环境时应满足桩基防腐的相关规定。可通过采用耐腐蚀水泥或特种固化剂并添加阻锈剂、减水剂、密实剂等外加剂的措施增加预制桩植桩的耐腐蚀性。</w:t>
      </w:r>
    </w:p>
    <w:p w14:paraId="3030A9DA">
      <w:pPr>
        <w:pStyle w:val="3"/>
        <w:spacing w:before="312" w:after="312"/>
        <w:rPr>
          <w:rFonts w:ascii="黑体" w:hAnsi="黑体" w:cs="黑体"/>
          <w:highlight w:val="none"/>
        </w:rPr>
      </w:pPr>
      <w:bookmarkStart w:id="257" w:name="_Toc30404"/>
      <w:bookmarkStart w:id="258" w:name="_Toc14484"/>
      <w:bookmarkStart w:id="259" w:name="_Toc464"/>
      <w:bookmarkStart w:id="260" w:name="_Toc1536"/>
      <w:bookmarkStart w:id="261" w:name="_Toc12996"/>
      <w:bookmarkStart w:id="262" w:name="_Toc15687"/>
      <w:bookmarkStart w:id="263" w:name="_Toc5702"/>
      <w:bookmarkStart w:id="264" w:name="_Toc2028"/>
      <w:bookmarkStart w:id="265" w:name="_4.2 选型和布置_1"/>
      <w:r>
        <w:rPr>
          <w:rFonts w:hint="eastAsia" w:ascii="Times New Roman" w:hAnsi="Times New Roman" w:cs="Times New Roman"/>
          <w:highlight w:val="none"/>
        </w:rPr>
        <w:t xml:space="preserve">4.2 </w:t>
      </w:r>
      <w:r>
        <w:rPr>
          <w:rFonts w:hint="eastAsia" w:ascii="黑体" w:hAnsi="黑体"/>
          <w:highlight w:val="none"/>
          <w:lang w:val="en-US" w:eastAsia="zh-CN"/>
        </w:rPr>
        <w:t>选型和布置</w:t>
      </w:r>
      <w:bookmarkEnd w:id="257"/>
      <w:bookmarkEnd w:id="258"/>
      <w:bookmarkEnd w:id="259"/>
      <w:bookmarkEnd w:id="260"/>
      <w:bookmarkEnd w:id="261"/>
      <w:bookmarkEnd w:id="262"/>
      <w:bookmarkEnd w:id="263"/>
      <w:bookmarkEnd w:id="264"/>
    </w:p>
    <w:bookmarkEnd w:id="265"/>
    <w:p w14:paraId="0DBA88E6">
      <w:pPr>
        <w:spacing w:line="340" w:lineRule="exact"/>
        <w:rPr>
          <w:rFonts w:hint="eastAsia" w:ascii="宋体" w:hAnsi="宋体"/>
          <w:bCs/>
          <w:szCs w:val="21"/>
          <w:highlight w:val="none"/>
          <w:lang w:val="en-US" w:eastAsia="zh-CN"/>
        </w:rPr>
      </w:pPr>
      <w:r>
        <w:rPr>
          <w:rFonts w:hint="eastAsia" w:ascii="Times New Roman" w:hAnsi="Times New Roman" w:cs="Times New Roman" w:eastAsiaTheme="minorEastAsia"/>
          <w:b/>
          <w:bCs/>
          <w:szCs w:val="21"/>
          <w:highlight w:val="none"/>
        </w:rPr>
        <w:t>4.2.1</w:t>
      </w:r>
      <w:r>
        <w:rPr>
          <w:rFonts w:hint="eastAsia" w:ascii="宋体" w:hAnsi="宋体"/>
          <w:bCs/>
          <w:szCs w:val="21"/>
          <w:highlight w:val="none"/>
        </w:rPr>
        <w:t xml:space="preserve"> </w:t>
      </w:r>
      <w:r>
        <w:rPr>
          <w:rFonts w:hint="eastAsia" w:ascii="宋体" w:hAnsi="宋体"/>
          <w:bCs/>
          <w:szCs w:val="21"/>
          <w:highlight w:val="none"/>
          <w:lang w:val="en-US" w:eastAsia="zh-CN"/>
        </w:rPr>
        <w:t>搅拌植桩和高压旋喷植桩</w:t>
      </w:r>
      <w:r>
        <w:rPr>
          <w:rFonts w:hint="eastAsia" w:ascii="宋体" w:hAnsi="宋体"/>
          <w:bCs/>
          <w:szCs w:val="21"/>
          <w:highlight w:val="none"/>
          <w:lang w:eastAsia="zh-CN"/>
        </w:rPr>
        <w:t>既能克服传统水泥</w:t>
      </w:r>
      <w:r>
        <w:rPr>
          <w:rFonts w:hint="eastAsia" w:ascii="宋体" w:hAnsi="宋体"/>
          <w:bCs/>
          <w:szCs w:val="21"/>
          <w:highlight w:val="none"/>
          <w:lang w:val="en-US" w:eastAsia="zh-CN"/>
        </w:rPr>
        <w:t>土或固化剂</w:t>
      </w:r>
      <w:r>
        <w:rPr>
          <w:rFonts w:hint="eastAsia" w:ascii="宋体" w:hAnsi="宋体"/>
          <w:bCs/>
          <w:szCs w:val="21"/>
          <w:highlight w:val="none"/>
          <w:lang w:eastAsia="zh-CN"/>
        </w:rPr>
        <w:t>桩均匀性差、强度低、取芯不成型、施工偷工减料、质量不可靠等缺陷，又能解决预制桩难以穿透深厚砂卵石硬夹层的问题。</w:t>
      </w:r>
      <w:r>
        <w:rPr>
          <w:rFonts w:hint="eastAsia" w:ascii="宋体" w:hAnsi="宋体"/>
          <w:bCs/>
          <w:szCs w:val="21"/>
          <w:highlight w:val="none"/>
          <w:lang w:val="en-US" w:eastAsia="zh-CN"/>
        </w:rPr>
        <w:t>旋挖植桩主要用于端承桩或摩擦端承桩，当桩端持力层为密实的卵砾石、硬质岩层时，可以充分发挥持力层和预制桩桩身的承载力。</w:t>
      </w:r>
    </w:p>
    <w:p w14:paraId="1E29BE93">
      <w:pPr>
        <w:keepNext w:val="0"/>
        <w:keepLines w:val="0"/>
        <w:pageBreakBefore w:val="0"/>
        <w:widowControl w:val="0"/>
        <w:kinsoku/>
        <w:wordWrap/>
        <w:overflowPunct/>
        <w:topLinePunct w:val="0"/>
        <w:autoSpaceDE/>
        <w:autoSpaceDN/>
        <w:bidi w:val="0"/>
        <w:adjustRightInd/>
        <w:snapToGrid/>
        <w:spacing w:line="340" w:lineRule="exact"/>
        <w:ind w:firstLine="422" w:firstLineChars="200"/>
        <w:textAlignment w:val="auto"/>
        <w:rPr>
          <w:rFonts w:hint="eastAsia" w:ascii="宋体" w:hAnsi="宋体"/>
          <w:bCs/>
          <w:szCs w:val="21"/>
          <w:highlight w:val="none"/>
          <w:lang w:val="en-US" w:eastAsia="zh-CN"/>
        </w:rPr>
      </w:pPr>
      <w:r>
        <w:rPr>
          <w:rFonts w:hint="eastAsia" w:ascii="Times New Roman" w:hAnsi="Times New Roman" w:cs="Times New Roman" w:eastAsiaTheme="minorEastAsia"/>
          <w:b/>
          <w:bCs/>
          <w:szCs w:val="21"/>
          <w:highlight w:val="none"/>
          <w:lang w:val="en-US" w:eastAsia="zh-CN"/>
        </w:rPr>
        <w:t>1</w:t>
      </w:r>
      <w:r>
        <w:rPr>
          <w:rFonts w:hint="eastAsia" w:ascii="宋体" w:hAnsi="宋体"/>
          <w:bCs/>
          <w:szCs w:val="21"/>
          <w:highlight w:val="none"/>
          <w:lang w:val="en-US" w:eastAsia="zh-CN"/>
        </w:rPr>
        <w:t xml:space="preserve"> 搅拌植桩适用于填土、黏性土、砂卵石、全风化、强风化极软岩等地层。当场地地下水流速较大、地下水具有强腐蚀性或场地含有较多块（孤）石、漂（卵）石或其它障碍物时，应通过试验确定其适用性。</w:t>
      </w:r>
    </w:p>
    <w:p w14:paraId="4D9C1EDE">
      <w:pPr>
        <w:keepNext w:val="0"/>
        <w:keepLines w:val="0"/>
        <w:pageBreakBefore w:val="0"/>
        <w:widowControl w:val="0"/>
        <w:kinsoku/>
        <w:wordWrap/>
        <w:overflowPunct/>
        <w:topLinePunct w:val="0"/>
        <w:autoSpaceDE/>
        <w:autoSpaceDN/>
        <w:bidi w:val="0"/>
        <w:adjustRightInd/>
        <w:snapToGrid/>
        <w:spacing w:line="340" w:lineRule="exact"/>
        <w:ind w:firstLine="422" w:firstLineChars="200"/>
        <w:textAlignment w:val="auto"/>
        <w:rPr>
          <w:rFonts w:hint="eastAsia" w:ascii="宋体" w:hAnsi="宋体"/>
          <w:bCs/>
          <w:szCs w:val="21"/>
          <w:highlight w:val="none"/>
          <w:lang w:val="en-US" w:eastAsia="zh-CN"/>
        </w:rPr>
      </w:pPr>
      <w:r>
        <w:rPr>
          <w:rFonts w:hint="eastAsia" w:ascii="Times New Roman" w:hAnsi="Times New Roman" w:cs="Times New Roman" w:eastAsiaTheme="minorEastAsia"/>
          <w:b/>
          <w:bCs/>
          <w:szCs w:val="21"/>
          <w:highlight w:val="none"/>
          <w:lang w:val="en-US" w:eastAsia="zh-CN"/>
        </w:rPr>
        <w:t>2</w:t>
      </w:r>
      <w:r>
        <w:rPr>
          <w:rFonts w:hint="eastAsia" w:ascii="宋体" w:hAnsi="宋体"/>
          <w:bCs/>
          <w:szCs w:val="21"/>
          <w:highlight w:val="none"/>
          <w:lang w:val="en-US" w:eastAsia="zh-CN"/>
        </w:rPr>
        <w:t xml:space="preserve"> 高压旋喷植桩适用于淤泥、淤泥质土、流塑、软塑或可塑黏性土、粉土、砂土和碎石土等地层。当场地土中含有较多的大粒径块石、坚硬黏性土、含大量植物根茎、有过多的有机质或地下水流速过大时，应通过试验确定其适用性。</w:t>
      </w:r>
    </w:p>
    <w:p w14:paraId="21784E50">
      <w:pPr>
        <w:keepNext w:val="0"/>
        <w:keepLines w:val="0"/>
        <w:pageBreakBefore w:val="0"/>
        <w:widowControl w:val="0"/>
        <w:kinsoku/>
        <w:wordWrap/>
        <w:overflowPunct/>
        <w:topLinePunct w:val="0"/>
        <w:autoSpaceDE/>
        <w:autoSpaceDN/>
        <w:bidi w:val="0"/>
        <w:adjustRightInd/>
        <w:snapToGrid/>
        <w:spacing w:line="340" w:lineRule="exact"/>
        <w:ind w:firstLine="422" w:firstLineChars="200"/>
        <w:textAlignment w:val="auto"/>
        <w:rPr>
          <w:rFonts w:hint="eastAsia" w:ascii="宋体" w:hAnsi="宋体"/>
          <w:bCs/>
          <w:szCs w:val="21"/>
          <w:highlight w:val="none"/>
          <w:lang w:val="en-US" w:eastAsia="zh-CN"/>
        </w:rPr>
      </w:pPr>
      <w:r>
        <w:rPr>
          <w:rFonts w:hint="eastAsia" w:ascii="Times New Roman" w:hAnsi="Times New Roman" w:cs="Times New Roman" w:eastAsiaTheme="minorEastAsia"/>
          <w:b/>
          <w:bCs/>
          <w:szCs w:val="21"/>
          <w:highlight w:val="none"/>
          <w:lang w:val="en-US" w:eastAsia="zh-CN"/>
        </w:rPr>
        <w:t>3</w:t>
      </w:r>
      <w:r>
        <w:rPr>
          <w:rFonts w:hint="eastAsia" w:ascii="宋体" w:hAnsi="宋体"/>
          <w:bCs/>
          <w:szCs w:val="21"/>
          <w:highlight w:val="none"/>
          <w:lang w:val="en-US" w:eastAsia="zh-CN"/>
        </w:rPr>
        <w:t xml:space="preserve"> 旋挖植桩适用于填土、粉土、黏性土、砂卵石、基岩等地层。当场地地下水承压水头较高或地下水流动性较大时，应通过现场试验确定其适用性。</w:t>
      </w:r>
    </w:p>
    <w:p w14:paraId="1D009E61">
      <w:pPr>
        <w:keepNext w:val="0"/>
        <w:keepLines w:val="0"/>
        <w:pageBreakBefore w:val="0"/>
        <w:widowControl w:val="0"/>
        <w:kinsoku/>
        <w:wordWrap/>
        <w:overflowPunct/>
        <w:topLinePunct w:val="0"/>
        <w:autoSpaceDE/>
        <w:autoSpaceDN/>
        <w:bidi w:val="0"/>
        <w:adjustRightInd/>
        <w:snapToGrid/>
        <w:spacing w:line="340" w:lineRule="exact"/>
        <w:ind w:firstLine="422" w:firstLineChars="200"/>
        <w:textAlignment w:val="auto"/>
        <w:rPr>
          <w:rFonts w:hint="eastAsia" w:ascii="宋体" w:hAnsi="宋体"/>
          <w:bCs/>
          <w:szCs w:val="21"/>
          <w:highlight w:val="none"/>
          <w:lang w:val="en-US" w:eastAsia="zh-CN"/>
        </w:rPr>
      </w:pPr>
      <w:r>
        <w:rPr>
          <w:rFonts w:hint="eastAsia" w:ascii="Times New Roman" w:hAnsi="Times New Roman" w:cs="Times New Roman" w:eastAsiaTheme="minorEastAsia"/>
          <w:b/>
          <w:bCs/>
          <w:szCs w:val="21"/>
          <w:highlight w:val="none"/>
          <w:lang w:val="en-US" w:eastAsia="zh-CN"/>
        </w:rPr>
        <w:t>4</w:t>
      </w:r>
      <w:r>
        <w:rPr>
          <w:rFonts w:hint="eastAsia" w:ascii="宋体" w:hAnsi="宋体"/>
          <w:bCs/>
          <w:szCs w:val="21"/>
          <w:highlight w:val="none"/>
          <w:lang w:val="en-US" w:eastAsia="zh-CN"/>
        </w:rPr>
        <w:t xml:space="preserve"> 长螺旋压灌植桩适用于素填土、黏性土、粉土、砂土、圆砾、全风化、强风化软岩等地层。当地基土主要为深厚的流塑状淤泥、饱和松散砂土、坚硬的碎石类土、粒径大且厚的卵石层时，应通过现场试验确定其适用性。</w:t>
      </w:r>
    </w:p>
    <w:p w14:paraId="49736A3B">
      <w:pPr>
        <w:spacing w:line="330" w:lineRule="exact"/>
        <w:rPr>
          <w:rFonts w:hint="default" w:ascii="宋体" w:hAnsi="宋体"/>
          <w:bCs/>
          <w:szCs w:val="21"/>
          <w:highlight w:val="none"/>
          <w:lang w:val="en-US" w:eastAsia="zh-CN"/>
        </w:rPr>
      </w:pPr>
      <w:r>
        <w:rPr>
          <w:rFonts w:hint="eastAsia" w:ascii="Times New Roman" w:hAnsi="Times New Roman" w:cs="Times New Roman" w:eastAsiaTheme="minorEastAsia"/>
          <w:b/>
          <w:bCs/>
          <w:szCs w:val="21"/>
          <w:highlight w:val="none"/>
        </w:rPr>
        <w:t>4.2.</w:t>
      </w:r>
      <w:r>
        <w:rPr>
          <w:rFonts w:hint="eastAsia" w:ascii="Times New Roman" w:hAnsi="Times New Roman" w:cs="Times New Roman" w:eastAsiaTheme="minorEastAsia"/>
          <w:b/>
          <w:bCs/>
          <w:szCs w:val="21"/>
          <w:highlight w:val="none"/>
          <w:lang w:val="en-US" w:eastAsia="zh-CN"/>
        </w:rPr>
        <w:t>2</w:t>
      </w:r>
      <w:r>
        <w:rPr>
          <w:rFonts w:hint="eastAsia" w:ascii="Times New Roman" w:hAnsi="Times New Roman" w:cs="Times New Roman" w:eastAsiaTheme="minorEastAsia"/>
          <w:szCs w:val="21"/>
          <w:highlight w:val="none"/>
        </w:rPr>
        <w:t xml:space="preserve"> </w:t>
      </w:r>
      <w:r>
        <w:rPr>
          <w:rFonts w:hint="eastAsia" w:ascii="宋体" w:hAnsi="宋体"/>
          <w:bCs/>
          <w:szCs w:val="21"/>
          <w:highlight w:val="none"/>
          <w:lang w:val="en-US" w:eastAsia="zh-CN"/>
        </w:rPr>
        <w:t>在确定内外芯的直径差值时，主要考虑两个方面问题：（</w:t>
      </w:r>
      <w:r>
        <w:rPr>
          <w:rFonts w:hint="default" w:ascii="Times New Roman" w:hAnsi="Times New Roman" w:cs="Times New Roman"/>
          <w:bCs/>
          <w:szCs w:val="21"/>
          <w:highlight w:val="none"/>
          <w:lang w:val="en-US" w:eastAsia="zh-CN"/>
        </w:rPr>
        <w:t>1</w:t>
      </w:r>
      <w:r>
        <w:rPr>
          <w:rFonts w:hint="eastAsia" w:ascii="宋体" w:hAnsi="宋体"/>
          <w:bCs/>
          <w:szCs w:val="21"/>
          <w:highlight w:val="none"/>
          <w:lang w:val="en-US" w:eastAsia="zh-CN"/>
        </w:rPr>
        <w:t>）预制桩植桩的单桩承载力与芯桩桩身承载力应匹配。预制桩植桩的单桩承载力与芯桩的桩身承载力基本一致时，可充分发挥预制桩的桩身承载力。（</w:t>
      </w:r>
      <w:r>
        <w:rPr>
          <w:rFonts w:hint="default" w:ascii="Times New Roman" w:hAnsi="Times New Roman" w:cs="Times New Roman"/>
          <w:bCs/>
          <w:szCs w:val="21"/>
          <w:highlight w:val="none"/>
          <w:lang w:val="en-US" w:eastAsia="zh-CN"/>
        </w:rPr>
        <w:t>2</w:t>
      </w:r>
      <w:r>
        <w:rPr>
          <w:rFonts w:hint="eastAsia" w:ascii="宋体" w:hAnsi="宋体"/>
          <w:bCs/>
          <w:szCs w:val="21"/>
          <w:highlight w:val="none"/>
          <w:lang w:val="en-US" w:eastAsia="zh-CN"/>
        </w:rPr>
        <w:t>）内外芯直径的差值应满足施工垂直度偏差的要求</w:t>
      </w:r>
      <w:r>
        <w:rPr>
          <w:rFonts w:hint="eastAsia" w:ascii="宋体" w:hAnsi="宋体"/>
          <w:bCs/>
          <w:szCs w:val="21"/>
          <w:highlight w:val="none"/>
          <w:lang w:eastAsia="zh-CN"/>
        </w:rPr>
        <w:t>。</w:t>
      </w:r>
      <w:r>
        <w:rPr>
          <w:rFonts w:hint="eastAsia" w:ascii="宋体" w:hAnsi="宋体"/>
          <w:bCs/>
          <w:szCs w:val="21"/>
          <w:highlight w:val="none"/>
          <w:lang w:val="en-US" w:eastAsia="zh-CN"/>
        </w:rPr>
        <w:t>预制桩植桩越长时，在垂直度偏差一定的情况下要求内外芯差值越大，反之越小。</w:t>
      </w:r>
    </w:p>
    <w:p w14:paraId="113FC265">
      <w:pPr>
        <w:spacing w:line="340" w:lineRule="exact"/>
        <w:rPr>
          <w:rFonts w:hint="eastAsia" w:ascii="宋体" w:hAnsi="宋体"/>
          <w:bCs/>
          <w:szCs w:val="21"/>
          <w:highlight w:val="none"/>
          <w:lang w:val="en-US" w:eastAsia="zh-CN"/>
        </w:rPr>
      </w:pPr>
      <w:r>
        <w:rPr>
          <w:rFonts w:hint="eastAsia" w:ascii="Times New Roman" w:hAnsi="Times New Roman" w:cs="Times New Roman" w:eastAsiaTheme="minorEastAsia"/>
          <w:b/>
          <w:bCs/>
          <w:szCs w:val="21"/>
          <w:highlight w:val="none"/>
        </w:rPr>
        <w:t>4.2.</w:t>
      </w:r>
      <w:r>
        <w:rPr>
          <w:rFonts w:hint="eastAsia" w:ascii="Times New Roman" w:hAnsi="Times New Roman" w:cs="Times New Roman" w:eastAsiaTheme="minorEastAsia"/>
          <w:b/>
          <w:bCs/>
          <w:szCs w:val="21"/>
          <w:highlight w:val="none"/>
          <w:lang w:val="en-US" w:eastAsia="zh-CN"/>
        </w:rPr>
        <w:t>4</w:t>
      </w:r>
      <w:r>
        <w:rPr>
          <w:rFonts w:hint="eastAsia" w:ascii="宋体" w:hAnsi="宋体"/>
          <w:bCs/>
          <w:szCs w:val="21"/>
          <w:highlight w:val="none"/>
        </w:rPr>
        <w:t xml:space="preserve"> </w:t>
      </w:r>
      <w:r>
        <w:rPr>
          <w:rFonts w:hint="eastAsia" w:ascii="宋体" w:hAnsi="宋体"/>
          <w:bCs/>
          <w:szCs w:val="21"/>
          <w:highlight w:val="none"/>
          <w:lang w:val="en-US" w:eastAsia="zh-CN"/>
        </w:rPr>
        <w:t>仅预制桩植桩的芯桩与承台或承台梁进行连接，在承台或承台梁进行承载力计算时，其受力面积为芯桩对应的面积，因此，预制桩植桩与承台或承台梁边缘的距离控制按芯桩取值。</w:t>
      </w:r>
    </w:p>
    <w:p w14:paraId="0D11E0FA">
      <w:pPr>
        <w:spacing w:line="340" w:lineRule="exact"/>
        <w:rPr>
          <w:rFonts w:hint="eastAsia" w:ascii="宋体" w:hAnsi="宋体"/>
          <w:szCs w:val="21"/>
          <w:highlight w:val="none"/>
        </w:rPr>
      </w:pPr>
      <w:r>
        <w:rPr>
          <w:rFonts w:hint="eastAsia" w:ascii="Times New Roman" w:hAnsi="Times New Roman" w:cs="Times New Roman" w:eastAsiaTheme="minorEastAsia"/>
          <w:b/>
          <w:bCs/>
          <w:szCs w:val="21"/>
          <w:highlight w:val="none"/>
        </w:rPr>
        <w:t>4.</w:t>
      </w:r>
      <w:r>
        <w:rPr>
          <w:rFonts w:hint="eastAsia" w:ascii="Times New Roman" w:hAnsi="Times New Roman" w:cs="Times New Roman" w:eastAsiaTheme="minorEastAsia"/>
          <w:b/>
          <w:bCs/>
          <w:szCs w:val="21"/>
          <w:highlight w:val="none"/>
          <w:lang w:val="en-US" w:eastAsia="zh-CN"/>
        </w:rPr>
        <w:t>2</w:t>
      </w:r>
      <w:r>
        <w:rPr>
          <w:rFonts w:hint="eastAsia" w:ascii="Times New Roman" w:hAnsi="Times New Roman" w:cs="Times New Roman" w:eastAsiaTheme="minorEastAsia"/>
          <w:b/>
          <w:bCs/>
          <w:szCs w:val="21"/>
          <w:highlight w:val="none"/>
        </w:rPr>
        <w:t>.</w:t>
      </w:r>
      <w:r>
        <w:rPr>
          <w:rFonts w:hint="eastAsia" w:ascii="Times New Roman" w:hAnsi="Times New Roman" w:cs="Times New Roman" w:eastAsiaTheme="minorEastAsia"/>
          <w:b/>
          <w:bCs/>
          <w:szCs w:val="21"/>
          <w:highlight w:val="none"/>
          <w:lang w:val="en-US" w:eastAsia="zh-CN"/>
        </w:rPr>
        <w:t>5</w:t>
      </w:r>
      <w:r>
        <w:rPr>
          <w:rFonts w:hint="eastAsia" w:ascii="宋体" w:hAnsi="宋体"/>
          <w:szCs w:val="21"/>
          <w:highlight w:val="none"/>
        </w:rPr>
        <w:t xml:space="preserve"> 桩端持力层是影响</w:t>
      </w:r>
      <w:r>
        <w:rPr>
          <w:rFonts w:hint="eastAsia" w:ascii="宋体" w:hAnsi="宋体"/>
          <w:szCs w:val="21"/>
          <w:highlight w:val="none"/>
          <w:lang w:val="en-US" w:eastAsia="zh-CN"/>
        </w:rPr>
        <w:t>预制桩植桩</w:t>
      </w:r>
      <w:r>
        <w:rPr>
          <w:rFonts w:hint="eastAsia" w:ascii="宋体" w:hAnsi="宋体"/>
          <w:szCs w:val="21"/>
          <w:highlight w:val="none"/>
        </w:rPr>
        <w:t>承载力发挥的重要因素</w:t>
      </w:r>
      <w:r>
        <w:rPr>
          <w:rFonts w:hint="eastAsia" w:ascii="宋体" w:hAnsi="宋体"/>
          <w:szCs w:val="21"/>
          <w:highlight w:val="none"/>
          <w:lang w:eastAsia="zh-CN"/>
        </w:rPr>
        <w:t>，</w:t>
      </w:r>
      <w:r>
        <w:rPr>
          <w:rFonts w:hint="eastAsia" w:ascii="宋体" w:hAnsi="宋体"/>
          <w:szCs w:val="21"/>
          <w:highlight w:val="none"/>
        </w:rPr>
        <w:t>它不仅决定桩端阻力而且也影响侧摩阻力的发挥，因此选择合适的土层作为持力层至关重要。同时，桩端进入持力层应达到合理的深度，适当提高进入持力层的深度可以提高桩端承载力。此外，进入持力层的深度除考虑有利于承载力的发挥外，尚应考虑成桩的可行性和施工难度。</w:t>
      </w:r>
    </w:p>
    <w:p w14:paraId="4332FBBF">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rPr>
      </w:pPr>
      <w:r>
        <w:rPr>
          <w:rFonts w:hint="eastAsia" w:ascii="宋体" w:hAnsi="宋体"/>
          <w:szCs w:val="21"/>
          <w:highlight w:val="none"/>
        </w:rPr>
        <w:t>对于嵌岩桩，嵌岩深度应综合</w:t>
      </w:r>
      <w:r>
        <w:rPr>
          <w:rFonts w:hint="eastAsia" w:ascii="宋体" w:hAnsi="宋体"/>
          <w:szCs w:val="21"/>
          <w:highlight w:val="none"/>
          <w:lang w:val="en-US" w:eastAsia="zh-CN"/>
        </w:rPr>
        <w:t>考虑</w:t>
      </w:r>
      <w:r>
        <w:rPr>
          <w:rFonts w:hint="eastAsia" w:ascii="宋体" w:hAnsi="宋体"/>
          <w:szCs w:val="21"/>
          <w:highlight w:val="none"/>
        </w:rPr>
        <w:t>荷载、上覆土层、基岩、桩径、桩长等因素确定。</w:t>
      </w:r>
    </w:p>
    <w:p w14:paraId="0EBC3613">
      <w:pPr>
        <w:spacing w:line="340" w:lineRule="exact"/>
        <w:rPr>
          <w:rFonts w:hint="eastAsia" w:ascii="宋体" w:hAnsi="宋体"/>
          <w:bCs/>
          <w:szCs w:val="21"/>
          <w:highlight w:val="none"/>
          <w:lang w:eastAsia="zh-CN"/>
        </w:rPr>
      </w:pPr>
      <w:r>
        <w:rPr>
          <w:rFonts w:hint="eastAsia" w:ascii="Times New Roman" w:hAnsi="Times New Roman" w:eastAsiaTheme="minorEastAsia"/>
          <w:b/>
          <w:bCs/>
          <w:szCs w:val="21"/>
          <w:highlight w:val="none"/>
        </w:rPr>
        <w:t>4.2.</w:t>
      </w:r>
      <w:r>
        <w:rPr>
          <w:rFonts w:hint="eastAsia" w:ascii="Times New Roman" w:hAnsi="Times New Roman" w:eastAsiaTheme="minorEastAsia"/>
          <w:b/>
          <w:bCs/>
          <w:szCs w:val="21"/>
          <w:highlight w:val="none"/>
          <w:lang w:val="en-US" w:eastAsia="zh-CN"/>
        </w:rPr>
        <w:t>6</w:t>
      </w:r>
      <w:r>
        <w:rPr>
          <w:rFonts w:hint="eastAsia" w:ascii="宋体" w:hAnsi="宋体"/>
          <w:bCs/>
          <w:szCs w:val="21"/>
          <w:highlight w:val="none"/>
          <w:lang w:val="en-US" w:eastAsia="zh-CN"/>
        </w:rPr>
        <w:t xml:space="preserve"> 由于外芯的有利作用，同时考虑到预制桩在植入时对桩身损伤较小且对桩身稳定性要求较低，因此预制桩植桩的长细比相对预制桩而言有所增大</w:t>
      </w:r>
      <w:r>
        <w:rPr>
          <w:rFonts w:hint="eastAsia" w:ascii="宋体" w:hAnsi="宋体"/>
          <w:bCs/>
          <w:szCs w:val="21"/>
          <w:highlight w:val="none"/>
          <w:lang w:eastAsia="zh-CN"/>
        </w:rPr>
        <w:t>。</w:t>
      </w:r>
    </w:p>
    <w:p w14:paraId="779C54EF">
      <w:pPr>
        <w:pStyle w:val="3"/>
        <w:spacing w:before="312" w:after="312"/>
        <w:rPr>
          <w:rFonts w:hint="eastAsia" w:ascii="Times New Roman" w:hAnsi="Times New Roman" w:cs="Times New Roman"/>
          <w:highlight w:val="none"/>
        </w:rPr>
      </w:pPr>
      <w:bookmarkStart w:id="266" w:name="_Toc31665"/>
      <w:bookmarkStart w:id="267" w:name="_Toc29602"/>
      <w:bookmarkStart w:id="268" w:name="_Toc20629"/>
      <w:bookmarkStart w:id="269" w:name="_Toc2154"/>
      <w:bookmarkStart w:id="270" w:name="_Toc7670"/>
      <w:bookmarkStart w:id="271" w:name="_Toc14809"/>
      <w:bookmarkStart w:id="272" w:name="_Toc7447"/>
      <w:bookmarkStart w:id="273" w:name="_Toc20748"/>
      <w:bookmarkStart w:id="274" w:name="_4.3 桩基设计_1"/>
      <w:r>
        <w:rPr>
          <w:rFonts w:hint="eastAsia" w:ascii="Times New Roman" w:hAnsi="Times New Roman" w:cs="Times New Roman"/>
          <w:highlight w:val="none"/>
        </w:rPr>
        <w:t xml:space="preserve">4.3 </w:t>
      </w:r>
      <w:r>
        <w:rPr>
          <w:rFonts w:hint="eastAsia" w:ascii="Times New Roman" w:hAnsi="Times New Roman" w:cs="Times New Roman"/>
          <w:highlight w:val="none"/>
          <w:lang w:val="en-US" w:eastAsia="zh-CN"/>
        </w:rPr>
        <w:t>桩基设计</w:t>
      </w:r>
      <w:bookmarkEnd w:id="266"/>
      <w:bookmarkEnd w:id="267"/>
      <w:bookmarkEnd w:id="268"/>
      <w:bookmarkEnd w:id="269"/>
      <w:bookmarkEnd w:id="270"/>
      <w:bookmarkEnd w:id="271"/>
      <w:bookmarkEnd w:id="272"/>
      <w:bookmarkEnd w:id="273"/>
    </w:p>
    <w:bookmarkEnd w:id="274"/>
    <w:p w14:paraId="5010549C">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rPr>
        <w:t>4.3.1</w:t>
      </w:r>
      <w:r>
        <w:rPr>
          <w:rFonts w:hint="eastAsia" w:ascii="宋体" w:hAnsi="宋体"/>
          <w:szCs w:val="21"/>
          <w:highlight w:val="none"/>
          <w:lang w:eastAsia="zh-CN"/>
        </w:rPr>
        <w:t xml:space="preserve"> 计算</w:t>
      </w:r>
      <w:r>
        <w:rPr>
          <w:rFonts w:hint="eastAsia" w:ascii="宋体" w:hAnsi="宋体"/>
          <w:szCs w:val="21"/>
          <w:highlight w:val="none"/>
          <w:lang w:val="en-US" w:eastAsia="zh-CN"/>
        </w:rPr>
        <w:t>预制桩植桩</w:t>
      </w:r>
      <w:r>
        <w:rPr>
          <w:rFonts w:hint="eastAsia" w:ascii="宋体" w:hAnsi="宋体"/>
          <w:szCs w:val="21"/>
          <w:highlight w:val="none"/>
          <w:lang w:eastAsia="zh-CN"/>
        </w:rPr>
        <w:t>桩顶竖向力和水平力时，应将荷载</w:t>
      </w:r>
      <w:r>
        <w:rPr>
          <w:rFonts w:hint="eastAsia" w:ascii="宋体" w:hAnsi="宋体"/>
          <w:szCs w:val="21"/>
          <w:highlight w:val="none"/>
          <w:lang w:val="en-US" w:eastAsia="zh-CN"/>
        </w:rPr>
        <w:t>集中</w:t>
      </w:r>
      <w:r>
        <w:rPr>
          <w:rFonts w:hint="eastAsia" w:ascii="宋体" w:hAnsi="宋体"/>
          <w:szCs w:val="21"/>
          <w:highlight w:val="none"/>
          <w:lang w:eastAsia="zh-CN"/>
        </w:rPr>
        <w:t>于柱、墙底部的基础上，</w:t>
      </w:r>
      <w:r>
        <w:rPr>
          <w:rFonts w:hint="eastAsia" w:ascii="宋体" w:hAnsi="宋体"/>
          <w:bCs/>
          <w:szCs w:val="21"/>
          <w:highlight w:val="none"/>
          <w:lang w:val="en-US" w:eastAsia="zh-CN"/>
        </w:rPr>
        <w:t>进行上部结构分析。这样，对于柱下独立桩基础，假定承台为刚性板，反力按线性分布，得到各基桩的桩顶竖向力和水平力，详见式（</w:t>
      </w:r>
      <w:r>
        <w:rPr>
          <w:rFonts w:hint="default" w:ascii="Times New Roman" w:hAnsi="Times New Roman" w:cs="Times New Roman"/>
          <w:bCs/>
          <w:szCs w:val="21"/>
          <w:highlight w:val="none"/>
          <w:lang w:val="en-US" w:eastAsia="zh-CN"/>
        </w:rPr>
        <w:t>4.3.1-1</w:t>
      </w:r>
      <w:r>
        <w:rPr>
          <w:rFonts w:hint="eastAsia" w:ascii="宋体" w:hAnsi="宋体"/>
          <w:bCs/>
          <w:szCs w:val="21"/>
          <w:highlight w:val="none"/>
          <w:lang w:val="en-US" w:eastAsia="zh-CN"/>
        </w:rPr>
        <w:t>）～式（</w:t>
      </w:r>
      <w:r>
        <w:rPr>
          <w:rFonts w:hint="eastAsia" w:ascii="Times New Roman" w:hAnsi="Times New Roman" w:cs="Times New Roman"/>
          <w:bCs/>
          <w:szCs w:val="21"/>
          <w:highlight w:val="none"/>
          <w:lang w:val="en-US" w:eastAsia="zh-CN"/>
        </w:rPr>
        <w:t>4.3.1-3</w:t>
      </w:r>
      <w:r>
        <w:rPr>
          <w:rFonts w:hint="eastAsia" w:ascii="宋体" w:hAnsi="宋体"/>
          <w:bCs/>
          <w:szCs w:val="21"/>
          <w:highlight w:val="none"/>
          <w:lang w:val="en-US" w:eastAsia="zh-CN"/>
        </w:rPr>
        <w:t>）。对于桩筏、桩箱基础，则将柱、剪力墙、核心筒</w:t>
      </w:r>
      <w:r>
        <w:rPr>
          <w:rFonts w:hint="eastAsia" w:ascii="宋体" w:hAnsi="宋体"/>
          <w:szCs w:val="21"/>
          <w:highlight w:val="none"/>
          <w:lang w:eastAsia="zh-CN"/>
        </w:rPr>
        <w:t>底部荷载分别按上述公式计算得到桩顶竖向力和水平力。</w:t>
      </w:r>
    </w:p>
    <w:p w14:paraId="040D7D5A">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计算假定桩与承台为铰接相连，只传递轴力和水平力，不传递弯矩。各基桩的刚度相等。</w:t>
      </w:r>
    </w:p>
    <w:p w14:paraId="3A893B48">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群桩中单桩桩顶竖向力采用了正常使用极限状态标准组合下的竖向力，承台及承台上土自重采用标准值，其意义在于以荷载标准组合确定桩数，与天然地基确定基础尺寸的原则相一致。同时避免了设计值、标准值混淆的可能性，便于应用。</w:t>
      </w:r>
    </w:p>
    <w:p w14:paraId="6768B8D5">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rPr>
        <w:t>4.3.</w:t>
      </w:r>
      <w:r>
        <w:rPr>
          <w:rFonts w:hint="eastAsia" w:ascii="Times New Roman" w:hAnsi="Times New Roman" w:cs="Times New Roman" w:eastAsiaTheme="minorEastAsia"/>
          <w:b/>
          <w:bCs/>
          <w:szCs w:val="21"/>
          <w:highlight w:val="none"/>
          <w:lang w:val="en-US" w:eastAsia="zh-CN"/>
        </w:rPr>
        <w:t>2</w:t>
      </w:r>
      <w:r>
        <w:rPr>
          <w:rFonts w:hint="eastAsia" w:ascii="宋体" w:hAnsi="宋体"/>
          <w:szCs w:val="21"/>
          <w:highlight w:val="none"/>
          <w:lang w:eastAsia="zh-CN"/>
        </w:rPr>
        <w:t xml:space="preserve"> 主要承受竖向荷载的抗震设防区低承台桩基础，</w:t>
      </w:r>
      <w:r>
        <w:rPr>
          <w:rFonts w:hint="eastAsia" w:ascii="宋体" w:hAnsi="宋体"/>
          <w:szCs w:val="21"/>
          <w:highlight w:val="none"/>
          <w:lang w:val="en-US" w:eastAsia="zh-CN"/>
        </w:rPr>
        <w:t>当按照</w:t>
      </w:r>
      <w:r>
        <w:rPr>
          <w:rFonts w:hint="default" w:ascii="Times New Roman" w:hAnsi="Times New Roman" w:eastAsiaTheme="minorEastAsia"/>
          <w:szCs w:val="21"/>
          <w:highlight w:val="none"/>
        </w:rPr>
        <w:t>现行</w:t>
      </w:r>
      <w:r>
        <w:rPr>
          <w:rFonts w:hint="eastAsia" w:ascii="Times New Roman" w:hAnsi="Times New Roman" w:eastAsiaTheme="minorEastAsia"/>
          <w:szCs w:val="21"/>
          <w:highlight w:val="none"/>
          <w:lang w:val="en-US" w:eastAsia="zh-CN"/>
        </w:rPr>
        <w:t>《石油化工构筑物抗震设计规范》SH 3147及</w:t>
      </w:r>
      <w:r>
        <w:rPr>
          <w:rFonts w:hint="eastAsia" w:ascii="宋体" w:hAnsi="宋体"/>
          <w:szCs w:val="21"/>
          <w:highlight w:val="none"/>
          <w:lang w:eastAsia="zh-CN"/>
        </w:rPr>
        <w:t>《建筑抗震设计标准》</w:t>
      </w:r>
      <w:r>
        <w:rPr>
          <w:rFonts w:hint="eastAsia" w:ascii="Times New Roman" w:hAnsi="Times New Roman" w:cs="Times New Roman"/>
          <w:szCs w:val="21"/>
          <w:highlight w:val="none"/>
          <w:lang w:eastAsia="zh-CN"/>
        </w:rPr>
        <w:t>GB/T50011</w:t>
      </w:r>
      <w:r>
        <w:rPr>
          <w:rFonts w:hint="eastAsia" w:ascii="宋体" w:hAnsi="宋体"/>
          <w:szCs w:val="21"/>
          <w:highlight w:val="none"/>
          <w:lang w:eastAsia="zh-CN"/>
        </w:rPr>
        <w:t>的规定可不进行桩基础抗震承载力验算</w:t>
      </w:r>
      <w:r>
        <w:rPr>
          <w:rFonts w:hint="eastAsia" w:ascii="宋体" w:hAnsi="宋体"/>
          <w:szCs w:val="21"/>
          <w:highlight w:val="none"/>
          <w:lang w:val="en-US" w:eastAsia="zh-CN"/>
        </w:rPr>
        <w:t>且</w:t>
      </w:r>
      <w:r>
        <w:rPr>
          <w:rFonts w:hint="eastAsia" w:ascii="宋体" w:hAnsi="宋体"/>
          <w:szCs w:val="21"/>
          <w:highlight w:val="none"/>
          <w:lang w:eastAsia="zh-CN"/>
        </w:rPr>
        <w:t>建筑场地位于建筑抗震的有利地段</w:t>
      </w:r>
      <w:r>
        <w:rPr>
          <w:rFonts w:hint="eastAsia" w:ascii="宋体" w:hAnsi="宋体"/>
          <w:szCs w:val="21"/>
          <w:highlight w:val="none"/>
          <w:lang w:val="en-US" w:eastAsia="zh-CN"/>
        </w:rPr>
        <w:t>时</w:t>
      </w:r>
      <w:r>
        <w:rPr>
          <w:rFonts w:hint="eastAsia" w:ascii="宋体" w:hAnsi="宋体"/>
          <w:szCs w:val="21"/>
          <w:highlight w:val="none"/>
          <w:lang w:eastAsia="zh-CN"/>
        </w:rPr>
        <w:t>，其地震效应对桩</w:t>
      </w:r>
      <w:r>
        <w:rPr>
          <w:rFonts w:hint="eastAsia" w:ascii="宋体" w:hAnsi="宋体"/>
          <w:szCs w:val="21"/>
          <w:highlight w:val="none"/>
          <w:lang w:val="en-US" w:eastAsia="zh-CN"/>
        </w:rPr>
        <w:t>基</w:t>
      </w:r>
      <w:r>
        <w:rPr>
          <w:rFonts w:hint="eastAsia" w:ascii="宋体" w:hAnsi="宋体"/>
          <w:szCs w:val="21"/>
          <w:highlight w:val="none"/>
          <w:lang w:eastAsia="zh-CN"/>
        </w:rPr>
        <w:t>的影响较小，计算桩顶作用效应时，可不考虑地震作用。</w:t>
      </w:r>
    </w:p>
    <w:p w14:paraId="63365E2D">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rPr>
        <w:t>4.3.</w:t>
      </w:r>
      <w:r>
        <w:rPr>
          <w:rFonts w:hint="eastAsia" w:ascii="Times New Roman" w:hAnsi="Times New Roman" w:cs="Times New Roman" w:eastAsiaTheme="minorEastAsia"/>
          <w:b/>
          <w:bCs/>
          <w:szCs w:val="21"/>
          <w:highlight w:val="none"/>
          <w:lang w:val="en-US" w:eastAsia="zh-CN"/>
        </w:rPr>
        <w:t>6</w:t>
      </w:r>
      <w:r>
        <w:rPr>
          <w:rFonts w:hint="eastAsia" w:ascii="Times New Roman" w:hAnsi="Times New Roman" w:cs="Times New Roman" w:eastAsiaTheme="minorEastAsia"/>
          <w:szCs w:val="21"/>
          <w:highlight w:val="none"/>
          <w:lang w:eastAsia="zh-CN"/>
        </w:rPr>
        <w:t xml:space="preserve"> </w:t>
      </w:r>
      <w:r>
        <w:rPr>
          <w:rFonts w:hint="eastAsia" w:ascii="宋体" w:hAnsi="宋体"/>
          <w:szCs w:val="21"/>
          <w:highlight w:val="none"/>
          <w:lang w:eastAsia="zh-CN"/>
        </w:rPr>
        <w:t>根据工程岩土勘察报告计算单桩竖向承载力特征值时，本规程采用综合安全系数</w:t>
      </w:r>
      <w:r>
        <w:rPr>
          <w:rFonts w:hint="default" w:ascii="Times New Roman" w:hAnsi="Times New Roman" w:cs="Times New Roman"/>
          <w:szCs w:val="21"/>
          <w:highlight w:val="none"/>
          <w:lang w:eastAsia="zh-CN"/>
        </w:rPr>
        <w:t>K=2</w:t>
      </w:r>
      <w:r>
        <w:rPr>
          <w:rFonts w:hint="eastAsia" w:ascii="宋体" w:hAnsi="宋体"/>
          <w:szCs w:val="21"/>
          <w:highlight w:val="none"/>
          <w:lang w:eastAsia="zh-CN"/>
        </w:rPr>
        <w:t>进行计算。</w:t>
      </w:r>
    </w:p>
    <w:p w14:paraId="16D7556F">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rPr>
        <w:t>4.3.</w:t>
      </w:r>
      <w:r>
        <w:rPr>
          <w:rFonts w:hint="eastAsia" w:ascii="Times New Roman" w:hAnsi="Times New Roman" w:cs="Times New Roman" w:eastAsiaTheme="minorEastAsia"/>
          <w:b/>
          <w:bCs/>
          <w:szCs w:val="21"/>
          <w:highlight w:val="none"/>
          <w:lang w:val="en-US" w:eastAsia="zh-CN"/>
        </w:rPr>
        <w:t>7</w:t>
      </w:r>
      <w:r>
        <w:rPr>
          <w:rFonts w:hint="eastAsia" w:ascii="宋体" w:hAnsi="宋体"/>
          <w:szCs w:val="21"/>
          <w:highlight w:val="none"/>
          <w:lang w:eastAsia="zh-CN"/>
        </w:rPr>
        <w:t xml:space="preserve"> </w:t>
      </w:r>
      <w:r>
        <w:rPr>
          <w:rFonts w:hint="eastAsia" w:ascii="宋体" w:hAnsi="宋体"/>
          <w:szCs w:val="21"/>
          <w:highlight w:val="none"/>
          <w:lang w:val="en-US" w:eastAsia="zh-CN"/>
        </w:rPr>
        <w:t>石化行业建（构）筑物桩基的设计等级应根据石化行业相关规范确定。</w:t>
      </w:r>
      <w:r>
        <w:rPr>
          <w:rFonts w:hint="eastAsia" w:ascii="宋体" w:hAnsi="宋体"/>
          <w:szCs w:val="21"/>
          <w:highlight w:val="none"/>
          <w:lang w:eastAsia="zh-CN"/>
        </w:rPr>
        <w:t>为确保</w:t>
      </w:r>
      <w:r>
        <w:rPr>
          <w:rFonts w:hint="eastAsia" w:ascii="宋体" w:hAnsi="宋体"/>
          <w:szCs w:val="21"/>
          <w:highlight w:val="none"/>
          <w:lang w:val="en-US" w:eastAsia="zh-CN"/>
        </w:rPr>
        <w:t>预制桩植桩</w:t>
      </w:r>
      <w:r>
        <w:rPr>
          <w:rFonts w:hint="eastAsia" w:ascii="宋体" w:hAnsi="宋体"/>
          <w:szCs w:val="21"/>
          <w:highlight w:val="none"/>
          <w:lang w:eastAsia="zh-CN"/>
        </w:rPr>
        <w:t>基础设计的可靠性，本条规定了不同的</w:t>
      </w:r>
      <w:r>
        <w:rPr>
          <w:rFonts w:hint="eastAsia" w:ascii="宋体" w:hAnsi="宋体"/>
          <w:szCs w:val="21"/>
          <w:highlight w:val="none"/>
          <w:lang w:val="en-US" w:eastAsia="zh-CN"/>
        </w:rPr>
        <w:t>预制桩植桩</w:t>
      </w:r>
      <w:r>
        <w:rPr>
          <w:rFonts w:hint="eastAsia" w:ascii="宋体" w:hAnsi="宋体"/>
          <w:szCs w:val="21"/>
          <w:highlight w:val="none"/>
          <w:lang w:eastAsia="zh-CN"/>
        </w:rPr>
        <w:t>基础设计等级</w:t>
      </w:r>
      <w:r>
        <w:rPr>
          <w:rFonts w:hint="eastAsia" w:ascii="宋体" w:hAnsi="宋体"/>
          <w:szCs w:val="21"/>
          <w:highlight w:val="none"/>
          <w:lang w:val="en-US" w:eastAsia="zh-CN"/>
        </w:rPr>
        <w:t>时，</w:t>
      </w:r>
      <w:r>
        <w:rPr>
          <w:rFonts w:hint="eastAsia" w:ascii="宋体" w:hAnsi="宋体"/>
          <w:szCs w:val="21"/>
          <w:highlight w:val="none"/>
          <w:lang w:eastAsia="zh-CN"/>
        </w:rPr>
        <w:t>对于单桩竖向极限承载力标准值的确定方法。通过竖向静载荷试验确定的单桩竖向承载力</w:t>
      </w:r>
      <w:r>
        <w:rPr>
          <w:rFonts w:hint="eastAsia" w:ascii="宋体" w:hAnsi="宋体"/>
          <w:szCs w:val="21"/>
          <w:highlight w:val="none"/>
          <w:lang w:val="en-US" w:eastAsia="zh-CN"/>
        </w:rPr>
        <w:t>标准值</w:t>
      </w:r>
      <w:r>
        <w:rPr>
          <w:rFonts w:hint="eastAsia" w:ascii="宋体" w:hAnsi="宋体"/>
          <w:szCs w:val="21"/>
          <w:highlight w:val="none"/>
          <w:lang w:eastAsia="zh-CN"/>
        </w:rPr>
        <w:t>和对应</w:t>
      </w:r>
      <w:r>
        <w:rPr>
          <w:rFonts w:hint="eastAsia" w:ascii="宋体" w:hAnsi="宋体"/>
          <w:szCs w:val="21"/>
          <w:highlight w:val="none"/>
          <w:lang w:val="en-US" w:eastAsia="zh-CN"/>
        </w:rPr>
        <w:t>的</w:t>
      </w:r>
      <w:r>
        <w:rPr>
          <w:rFonts w:hint="eastAsia" w:ascii="宋体" w:hAnsi="宋体"/>
          <w:szCs w:val="21"/>
          <w:highlight w:val="none"/>
          <w:lang w:eastAsia="zh-CN"/>
        </w:rPr>
        <w:t>特征值，不得超过按本</w:t>
      </w:r>
      <w:r>
        <w:rPr>
          <w:rFonts w:hint="eastAsia" w:ascii="宋体" w:hAnsi="宋体"/>
          <w:szCs w:val="21"/>
          <w:highlight w:val="none"/>
          <w:lang w:val="en-US" w:eastAsia="zh-CN"/>
        </w:rPr>
        <w:t>规范</w:t>
      </w:r>
      <w:r>
        <w:rPr>
          <w:rFonts w:hint="eastAsia" w:ascii="宋体" w:hAnsi="宋体"/>
          <w:szCs w:val="21"/>
          <w:highlight w:val="none"/>
          <w:lang w:eastAsia="zh-CN"/>
        </w:rPr>
        <w:t>第</w:t>
      </w:r>
      <w:r>
        <w:rPr>
          <w:rFonts w:hint="default" w:ascii="Times New Roman" w:hAnsi="Times New Roman" w:cs="Times New Roman"/>
          <w:szCs w:val="21"/>
          <w:highlight w:val="none"/>
          <w:lang w:val="en-US" w:eastAsia="zh-CN"/>
        </w:rPr>
        <w:t>4</w:t>
      </w:r>
      <w:r>
        <w:rPr>
          <w:rFonts w:hint="default" w:ascii="Times New Roman" w:hAnsi="Times New Roman" w:cs="Times New Roman"/>
          <w:szCs w:val="21"/>
          <w:highlight w:val="none"/>
          <w:lang w:eastAsia="zh-CN"/>
        </w:rPr>
        <w:t>.3.9</w:t>
      </w:r>
      <w:r>
        <w:rPr>
          <w:rFonts w:hint="eastAsia" w:ascii="宋体" w:hAnsi="宋体"/>
          <w:szCs w:val="21"/>
          <w:highlight w:val="none"/>
          <w:lang w:eastAsia="zh-CN"/>
        </w:rPr>
        <w:t>条计算的</w:t>
      </w:r>
      <w:r>
        <w:rPr>
          <w:rFonts w:hint="eastAsia" w:ascii="宋体" w:hAnsi="宋体"/>
          <w:szCs w:val="21"/>
          <w:highlight w:val="none"/>
          <w:lang w:val="en-US" w:eastAsia="zh-CN"/>
        </w:rPr>
        <w:t>预制</w:t>
      </w:r>
      <w:r>
        <w:rPr>
          <w:rFonts w:hint="eastAsia" w:ascii="宋体" w:hAnsi="宋体"/>
          <w:szCs w:val="21"/>
          <w:highlight w:val="none"/>
          <w:lang w:eastAsia="zh-CN"/>
        </w:rPr>
        <w:t>桩桩身结构允许的竖向承载力设计值和对应的竖向承载力特征值，以确保工程</w:t>
      </w:r>
      <w:r>
        <w:rPr>
          <w:rFonts w:hint="eastAsia" w:ascii="宋体" w:hAnsi="宋体"/>
          <w:szCs w:val="21"/>
          <w:highlight w:val="none"/>
          <w:lang w:val="en-US" w:eastAsia="zh-CN"/>
        </w:rPr>
        <w:t>中预制桩植桩</w:t>
      </w:r>
      <w:r>
        <w:rPr>
          <w:rFonts w:hint="eastAsia" w:ascii="宋体" w:hAnsi="宋体"/>
          <w:szCs w:val="21"/>
          <w:highlight w:val="none"/>
          <w:lang w:eastAsia="zh-CN"/>
        </w:rPr>
        <w:t>的使用安全。</w:t>
      </w:r>
    </w:p>
    <w:p w14:paraId="19D3E8D1">
      <w:pPr>
        <w:spacing w:line="340" w:lineRule="exact"/>
        <w:rPr>
          <w:rFonts w:hint="eastAsia" w:ascii="宋体" w:hAnsi="宋体"/>
          <w:bCs/>
          <w:szCs w:val="21"/>
          <w:highlight w:val="none"/>
          <w:lang w:val="en-US" w:eastAsia="zh-CN"/>
        </w:rPr>
      </w:pPr>
      <w:r>
        <w:rPr>
          <w:rFonts w:hint="eastAsia" w:ascii="Times New Roman" w:hAnsi="Times New Roman" w:cs="Times New Roman" w:eastAsiaTheme="minorEastAsia"/>
          <w:b/>
          <w:bCs/>
          <w:szCs w:val="21"/>
          <w:highlight w:val="none"/>
        </w:rPr>
        <w:t>4.</w:t>
      </w:r>
      <w:r>
        <w:rPr>
          <w:rFonts w:hint="eastAsia" w:ascii="Times New Roman" w:hAnsi="Times New Roman" w:cs="Times New Roman" w:eastAsiaTheme="minorEastAsia"/>
          <w:b/>
          <w:bCs/>
          <w:szCs w:val="21"/>
          <w:highlight w:val="none"/>
          <w:lang w:val="en-US" w:eastAsia="zh-CN"/>
        </w:rPr>
        <w:t>3</w:t>
      </w:r>
      <w:r>
        <w:rPr>
          <w:rFonts w:hint="eastAsia" w:ascii="Times New Roman" w:hAnsi="Times New Roman" w:cs="Times New Roman" w:eastAsiaTheme="minorEastAsia"/>
          <w:b/>
          <w:bCs/>
          <w:szCs w:val="21"/>
          <w:highlight w:val="none"/>
        </w:rPr>
        <w:t>.</w:t>
      </w:r>
      <w:r>
        <w:rPr>
          <w:rFonts w:hint="eastAsia" w:ascii="Times New Roman" w:hAnsi="Times New Roman" w:cs="Times New Roman" w:eastAsiaTheme="minorEastAsia"/>
          <w:b/>
          <w:bCs/>
          <w:szCs w:val="21"/>
          <w:highlight w:val="none"/>
          <w:lang w:val="en-US" w:eastAsia="zh-CN"/>
        </w:rPr>
        <w:t>8</w:t>
      </w:r>
      <w:r>
        <w:rPr>
          <w:rFonts w:hint="eastAsia" w:ascii="宋体" w:hAnsi="宋体"/>
          <w:bCs/>
          <w:szCs w:val="21"/>
          <w:highlight w:val="none"/>
        </w:rPr>
        <w:t xml:space="preserve"> </w:t>
      </w:r>
      <w:r>
        <w:rPr>
          <w:rFonts w:hint="eastAsia" w:ascii="宋体" w:hAnsi="宋体"/>
          <w:bCs/>
          <w:szCs w:val="21"/>
          <w:highlight w:val="none"/>
          <w:lang w:val="en-US" w:eastAsia="zh-CN"/>
        </w:rPr>
        <w:t>在计算单桩竖向承载力标准值时，单桩竖向承载力由桩侧阻力和桩端阻力两部分组成</w:t>
      </w:r>
      <w:r>
        <w:rPr>
          <w:rFonts w:hint="eastAsia" w:ascii="宋体" w:hAnsi="宋体"/>
          <w:bCs/>
          <w:szCs w:val="21"/>
          <w:highlight w:val="none"/>
          <w:lang w:eastAsia="zh-CN"/>
        </w:rPr>
        <w:t>。</w:t>
      </w:r>
      <w:r>
        <w:rPr>
          <w:rFonts w:hint="eastAsia" w:ascii="宋体" w:hAnsi="宋体"/>
          <w:bCs/>
          <w:szCs w:val="21"/>
          <w:highlight w:val="none"/>
          <w:lang w:val="en-US" w:eastAsia="zh-CN"/>
        </w:rPr>
        <w:t>桩侧阻力按灌注桩的</w:t>
      </w:r>
      <w:r>
        <w:rPr>
          <w:rFonts w:hint="eastAsia"/>
          <w:bCs/>
          <w:szCs w:val="18"/>
          <w:highlight w:val="none"/>
        </w:rPr>
        <w:t>极限侧阻力标准值</w:t>
      </w:r>
      <w:r>
        <w:rPr>
          <w:rFonts w:hint="eastAsia" w:ascii="宋体" w:hAnsi="宋体"/>
          <w:bCs/>
          <w:szCs w:val="21"/>
          <w:highlight w:val="none"/>
          <w:lang w:val="en-US" w:eastAsia="zh-CN"/>
        </w:rPr>
        <w:t>高值进行计算，这是由于预制桩植桩桩侧受力特征类似于灌注桩，同时由于在植入芯桩时，对桩周土体有一定挤密作用，所以取灌注桩的</w:t>
      </w:r>
      <w:r>
        <w:rPr>
          <w:rFonts w:hint="eastAsia"/>
          <w:bCs/>
          <w:szCs w:val="18"/>
          <w:highlight w:val="none"/>
        </w:rPr>
        <w:t>极限侧阻力标准值</w:t>
      </w:r>
      <w:r>
        <w:rPr>
          <w:rFonts w:hint="eastAsia" w:ascii="宋体" w:hAnsi="宋体"/>
          <w:bCs/>
          <w:szCs w:val="21"/>
          <w:highlight w:val="none"/>
          <w:lang w:val="en-US" w:eastAsia="zh-CN"/>
        </w:rPr>
        <w:t>高值。桩端阻力按预制桩的</w:t>
      </w:r>
      <w:r>
        <w:rPr>
          <w:rFonts w:hint="eastAsia"/>
          <w:bCs/>
          <w:szCs w:val="18"/>
          <w:highlight w:val="none"/>
        </w:rPr>
        <w:t>极限</w:t>
      </w:r>
      <w:r>
        <w:rPr>
          <w:rFonts w:hint="eastAsia"/>
          <w:bCs/>
          <w:szCs w:val="18"/>
          <w:highlight w:val="none"/>
          <w:lang w:val="en-US" w:eastAsia="zh-CN"/>
        </w:rPr>
        <w:t>端</w:t>
      </w:r>
      <w:r>
        <w:rPr>
          <w:rFonts w:hint="eastAsia"/>
          <w:bCs/>
          <w:szCs w:val="18"/>
          <w:highlight w:val="none"/>
        </w:rPr>
        <w:t>阻力标准值</w:t>
      </w:r>
      <w:r>
        <w:rPr>
          <w:rFonts w:hint="eastAsia" w:ascii="宋体" w:hAnsi="宋体"/>
          <w:bCs/>
          <w:szCs w:val="21"/>
          <w:highlight w:val="none"/>
          <w:lang w:val="en-US" w:eastAsia="zh-CN"/>
        </w:rPr>
        <w:t>进行计算，这是由于预制桩植桩桩端受力特征类似于预制桩，所以取预制桩的</w:t>
      </w:r>
      <w:r>
        <w:rPr>
          <w:rFonts w:hint="eastAsia"/>
          <w:bCs/>
          <w:szCs w:val="18"/>
          <w:highlight w:val="none"/>
        </w:rPr>
        <w:t>极限</w:t>
      </w:r>
      <w:r>
        <w:rPr>
          <w:rFonts w:hint="eastAsia"/>
          <w:bCs/>
          <w:szCs w:val="18"/>
          <w:highlight w:val="none"/>
          <w:lang w:val="en-US" w:eastAsia="zh-CN"/>
        </w:rPr>
        <w:t>端</w:t>
      </w:r>
      <w:r>
        <w:rPr>
          <w:rFonts w:hint="eastAsia"/>
          <w:bCs/>
          <w:szCs w:val="18"/>
          <w:highlight w:val="none"/>
        </w:rPr>
        <w:t>阻力标准值</w:t>
      </w:r>
      <w:r>
        <w:rPr>
          <w:rFonts w:hint="eastAsia" w:ascii="宋体" w:hAnsi="宋体"/>
          <w:bCs/>
          <w:szCs w:val="21"/>
          <w:highlight w:val="none"/>
          <w:lang w:val="en-US" w:eastAsia="zh-CN"/>
        </w:rPr>
        <w:t>。</w:t>
      </w:r>
    </w:p>
    <w:p w14:paraId="3EE170FD">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pPr>
      <w:r>
        <w:rPr>
          <w:rFonts w:hint="eastAsia" w:ascii="宋体" w:hAnsi="宋体"/>
          <w:bCs/>
          <w:szCs w:val="21"/>
          <w:highlight w:val="none"/>
          <w:lang w:val="en-US" w:eastAsia="zh-CN"/>
        </w:rPr>
        <w:t>预制桩植桩内外芯之间的侧摩阻力标准值通常按外芯强度的8</w:t>
      </w:r>
      <w:r>
        <w:rPr>
          <w:rFonts w:hint="eastAsia" w:ascii="Times New Roman" w:hAnsi="Times New Roman" w:cs="Times New Roman"/>
          <w:bCs/>
          <w:szCs w:val="21"/>
          <w:highlight w:val="none"/>
          <w:lang w:val="en-US" w:eastAsia="zh-CN"/>
        </w:rPr>
        <w:t>%~16%</w:t>
      </w:r>
      <w:r>
        <w:rPr>
          <w:rFonts w:hint="eastAsia" w:ascii="宋体" w:hAnsi="宋体"/>
          <w:bCs/>
          <w:szCs w:val="21"/>
          <w:highlight w:val="none"/>
          <w:lang w:val="en-US" w:eastAsia="zh-CN"/>
        </w:rPr>
        <w:t>取值。一般情况下，当水泥或固化剂掺入量</w:t>
      </w:r>
      <w:r>
        <w:rPr>
          <w:rFonts w:hint="default" w:ascii="Times New Roman" w:hAnsi="Times New Roman" w:cs="Times New Roman"/>
          <w:bCs/>
          <w:szCs w:val="21"/>
          <w:highlight w:val="none"/>
          <w:lang w:val="en-US" w:eastAsia="zh-CN"/>
        </w:rPr>
        <w:t>15%</w:t>
      </w:r>
      <w:r>
        <w:rPr>
          <w:rFonts w:hint="eastAsia" w:ascii="宋体" w:hAnsi="宋体"/>
          <w:bCs/>
          <w:szCs w:val="21"/>
          <w:highlight w:val="none"/>
          <w:lang w:val="en-US" w:eastAsia="zh-CN"/>
        </w:rPr>
        <w:t>时，</w:t>
      </w:r>
      <w:r>
        <w:t>室内相同配比试块在标准条件下</w:t>
      </w:r>
      <w:r>
        <w:rPr>
          <w:rFonts w:hint="eastAsia" w:ascii="Times New Roman" w:hAnsi="Times New Roman" w:eastAsia="宋体" w:cs="Times New Roman"/>
          <w:color w:val="auto"/>
          <w:kern w:val="2"/>
          <w:sz w:val="21"/>
          <w:szCs w:val="21"/>
          <w:highlight w:val="none"/>
          <w:lang w:val="en-US" w:eastAsia="zh-CN" w:bidi="ar-SA"/>
        </w:rPr>
        <w:t>90 d</w:t>
      </w:r>
      <w:r>
        <w:rPr>
          <w:rFonts w:hint="eastAsia"/>
        </w:rPr>
        <w:t>龄期的立方体（边长</w:t>
      </w:r>
      <w:r>
        <w:rPr>
          <w:rFonts w:hint="eastAsia" w:ascii="Times New Roman" w:hAnsi="Times New Roman" w:eastAsia="宋体" w:cs="Times New Roman"/>
          <w:color w:val="auto"/>
          <w:kern w:val="2"/>
          <w:sz w:val="21"/>
          <w:szCs w:val="21"/>
          <w:highlight w:val="none"/>
          <w:lang w:val="en-US" w:eastAsia="zh-CN" w:bidi="ar-SA"/>
        </w:rPr>
        <w:t>70.7 mm</w:t>
      </w:r>
      <w:r>
        <w:rPr>
          <w:rFonts w:hint="eastAsia"/>
        </w:rPr>
        <w:t>）无侧限抗压强度</w:t>
      </w:r>
      <w:r>
        <w:rPr>
          <w:rFonts w:hint="eastAsia"/>
          <w:lang w:eastAsia="zh-CN"/>
        </w:rPr>
        <w:t>，</w:t>
      </w:r>
      <w:r>
        <w:rPr>
          <w:rFonts w:hint="eastAsia" w:ascii="宋体" w:hAnsi="宋体"/>
          <w:bCs/>
          <w:szCs w:val="21"/>
          <w:highlight w:val="none"/>
          <w:lang w:val="en-US" w:eastAsia="zh-CN"/>
        </w:rPr>
        <w:t>淤泥质土为</w:t>
      </w:r>
      <w:r>
        <w:rPr>
          <w:rFonts w:hint="eastAsia" w:ascii="Times New Roman" w:hAnsi="Times New Roman" w:cs="Times New Roman"/>
          <w:bCs/>
          <w:szCs w:val="21"/>
          <w:highlight w:val="none"/>
          <w:lang w:val="en-US" w:eastAsia="zh-CN"/>
        </w:rPr>
        <w:t>1.0~1.5MPa</w:t>
      </w:r>
      <w:r>
        <w:rPr>
          <w:rFonts w:hint="eastAsia" w:ascii="宋体" w:hAnsi="宋体"/>
          <w:bCs/>
          <w:szCs w:val="21"/>
          <w:highlight w:val="none"/>
          <w:lang w:val="en-US" w:eastAsia="zh-CN"/>
        </w:rPr>
        <w:t>；粘性土为</w:t>
      </w:r>
      <w:r>
        <w:rPr>
          <w:rFonts w:hint="eastAsia" w:ascii="Times New Roman" w:hAnsi="Times New Roman" w:cs="Times New Roman"/>
          <w:bCs/>
          <w:szCs w:val="21"/>
          <w:highlight w:val="none"/>
          <w:lang w:val="en-US" w:eastAsia="zh-CN"/>
        </w:rPr>
        <w:t>1.5~2.0MPa</w:t>
      </w:r>
      <w:r>
        <w:rPr>
          <w:rFonts w:hint="eastAsia" w:ascii="宋体" w:hAnsi="宋体"/>
          <w:bCs/>
          <w:szCs w:val="21"/>
          <w:highlight w:val="none"/>
          <w:lang w:val="en-US" w:eastAsia="zh-CN"/>
        </w:rPr>
        <w:t>；粉土为</w:t>
      </w:r>
      <w:r>
        <w:rPr>
          <w:rFonts w:hint="eastAsia" w:ascii="Times New Roman" w:hAnsi="Times New Roman" w:cs="Times New Roman"/>
          <w:bCs/>
          <w:szCs w:val="21"/>
          <w:highlight w:val="none"/>
          <w:lang w:val="en-US" w:eastAsia="zh-CN"/>
        </w:rPr>
        <w:t>2.0~3.0MPa</w:t>
      </w:r>
      <w:r>
        <w:rPr>
          <w:rFonts w:hint="eastAsia" w:ascii="宋体" w:hAnsi="宋体"/>
          <w:bCs/>
          <w:szCs w:val="21"/>
          <w:highlight w:val="none"/>
          <w:lang w:val="en-US" w:eastAsia="zh-CN"/>
        </w:rPr>
        <w:t>；砂土为</w:t>
      </w:r>
      <w:r>
        <w:rPr>
          <w:rFonts w:hint="eastAsia" w:ascii="Times New Roman" w:hAnsi="Times New Roman" w:cs="Times New Roman"/>
          <w:bCs/>
          <w:szCs w:val="21"/>
          <w:highlight w:val="none"/>
          <w:lang w:val="en-US" w:eastAsia="zh-CN"/>
        </w:rPr>
        <w:t>3.0~5.0MPa</w:t>
      </w:r>
      <w:r>
        <w:rPr>
          <w:rFonts w:hint="eastAsia" w:ascii="宋体" w:hAnsi="宋体"/>
          <w:bCs/>
          <w:szCs w:val="21"/>
          <w:highlight w:val="none"/>
          <w:lang w:val="en-US" w:eastAsia="zh-CN"/>
        </w:rPr>
        <w:t>。水泥砂浆不低于</w:t>
      </w:r>
      <w:r>
        <w:rPr>
          <w:rFonts w:hint="eastAsia" w:ascii="Times New Roman" w:hAnsi="Times New Roman" w:cs="Times New Roman"/>
          <w:bCs/>
          <w:szCs w:val="21"/>
          <w:highlight w:val="none"/>
          <w:lang w:val="en-US" w:eastAsia="zh-CN"/>
        </w:rPr>
        <w:t>15MPa，混凝土不低于20Mpa。经过计算，内外芯的侧摩阻力标准值在80~800kPa，远高于外芯与土之间的侧摩阻力。因此，预制桩植桩的内外芯可结合成整体，并有效协同受力。</w:t>
      </w:r>
    </w:p>
    <w:p w14:paraId="1AC34FD5">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lang w:val="en-US" w:eastAsia="zh-CN"/>
        </w:rPr>
      </w:pPr>
      <w:r>
        <w:rPr>
          <w:rFonts w:hint="eastAsia"/>
          <w:bCs/>
          <w:color w:val="auto"/>
          <w:position w:val="0"/>
          <w:szCs w:val="18"/>
          <w:highlight w:val="none"/>
          <w:lang w:val="en-US" w:eastAsia="zh-CN"/>
        </w:rPr>
        <w:t>第2款中，嵌岩旋挖植桩外芯材料宜采用</w:t>
      </w:r>
      <w:r>
        <w:rPr>
          <w:rFonts w:hint="eastAsia"/>
          <w:lang w:val="en-US" w:eastAsia="zh-CN"/>
        </w:rPr>
        <w:t>混凝土或水泥砂浆。</w:t>
      </w:r>
    </w:p>
    <w:p w14:paraId="19264004">
      <w:pPr>
        <w:spacing w:line="340" w:lineRule="exact"/>
        <w:rPr>
          <w:rFonts w:hint="default" w:ascii="宋体" w:hAnsi="宋体"/>
          <w:bCs/>
          <w:szCs w:val="21"/>
          <w:highlight w:val="none"/>
          <w:lang w:val="en-US" w:eastAsia="zh-CN"/>
        </w:rPr>
      </w:pPr>
      <w:r>
        <w:rPr>
          <w:rFonts w:hint="eastAsia" w:ascii="Times New Roman" w:hAnsi="Times New Roman" w:cs="Times New Roman" w:eastAsiaTheme="minorEastAsia"/>
          <w:b/>
          <w:bCs/>
          <w:szCs w:val="21"/>
          <w:highlight w:val="none"/>
        </w:rPr>
        <w:t>4.</w:t>
      </w:r>
      <w:r>
        <w:rPr>
          <w:rFonts w:hint="eastAsia" w:ascii="Times New Roman" w:hAnsi="Times New Roman" w:cs="Times New Roman" w:eastAsiaTheme="minorEastAsia"/>
          <w:b/>
          <w:bCs/>
          <w:szCs w:val="21"/>
          <w:highlight w:val="none"/>
          <w:lang w:val="en-US" w:eastAsia="zh-CN"/>
        </w:rPr>
        <w:t>3</w:t>
      </w:r>
      <w:r>
        <w:rPr>
          <w:rFonts w:hint="eastAsia" w:ascii="Times New Roman" w:hAnsi="Times New Roman" w:cs="Times New Roman" w:eastAsiaTheme="minorEastAsia"/>
          <w:b/>
          <w:bCs/>
          <w:szCs w:val="21"/>
          <w:highlight w:val="none"/>
        </w:rPr>
        <w:t>.</w:t>
      </w:r>
      <w:r>
        <w:rPr>
          <w:rFonts w:hint="eastAsia" w:ascii="Times New Roman" w:hAnsi="Times New Roman" w:cs="Times New Roman" w:eastAsiaTheme="minorEastAsia"/>
          <w:b/>
          <w:bCs/>
          <w:szCs w:val="21"/>
          <w:highlight w:val="none"/>
          <w:lang w:val="en-US" w:eastAsia="zh-CN"/>
        </w:rPr>
        <w:t>10</w:t>
      </w:r>
      <w:r>
        <w:rPr>
          <w:rFonts w:hint="eastAsia" w:ascii="宋体" w:hAnsi="宋体"/>
          <w:bCs/>
          <w:szCs w:val="21"/>
          <w:highlight w:val="none"/>
        </w:rPr>
        <w:t xml:space="preserve"> </w:t>
      </w:r>
      <w:r>
        <w:rPr>
          <w:rFonts w:hint="eastAsia" w:ascii="宋体" w:hAnsi="宋体"/>
          <w:bCs/>
          <w:szCs w:val="21"/>
          <w:highlight w:val="none"/>
          <w:lang w:val="en-US" w:eastAsia="zh-CN"/>
        </w:rPr>
        <w:t>在计算单桩水平承载力特征值时，当外芯材料为水泥土或固化土时，经验修正系数的取小值，当外芯材料为水泥砂浆或混凝土时，修正系数取大值。</w:t>
      </w:r>
    </w:p>
    <w:p w14:paraId="10304EAC">
      <w:pPr>
        <w:spacing w:line="340" w:lineRule="exact"/>
        <w:rPr>
          <w:rFonts w:hint="eastAsia" w:ascii="Times New Roman" w:hAnsi="Times New Roman" w:eastAsiaTheme="minorEastAsia"/>
          <w:szCs w:val="21"/>
          <w:highlight w:val="none"/>
          <w:lang w:val="en-US" w:eastAsia="zh-CN"/>
        </w:rPr>
      </w:pPr>
      <w:r>
        <w:rPr>
          <w:rFonts w:hint="eastAsia" w:ascii="Times New Roman" w:hAnsi="Times New Roman" w:cs="Times New Roman" w:eastAsiaTheme="minorEastAsia"/>
          <w:b/>
          <w:bCs/>
          <w:szCs w:val="21"/>
          <w:highlight w:val="none"/>
        </w:rPr>
        <w:t>4.</w:t>
      </w:r>
      <w:r>
        <w:rPr>
          <w:rFonts w:hint="eastAsia" w:ascii="Times New Roman" w:hAnsi="Times New Roman" w:cs="Times New Roman" w:eastAsiaTheme="minorEastAsia"/>
          <w:b/>
          <w:bCs/>
          <w:szCs w:val="21"/>
          <w:highlight w:val="none"/>
          <w:lang w:val="en-US" w:eastAsia="zh-CN"/>
        </w:rPr>
        <w:t>3</w:t>
      </w:r>
      <w:r>
        <w:rPr>
          <w:rFonts w:hint="eastAsia" w:ascii="Times New Roman" w:hAnsi="Times New Roman" w:cs="Times New Roman" w:eastAsiaTheme="minorEastAsia"/>
          <w:b/>
          <w:bCs/>
          <w:szCs w:val="21"/>
          <w:highlight w:val="none"/>
        </w:rPr>
        <w:t>.</w:t>
      </w:r>
      <w:r>
        <w:rPr>
          <w:rFonts w:hint="eastAsia" w:ascii="Times New Roman" w:hAnsi="Times New Roman" w:cs="Times New Roman" w:eastAsiaTheme="minorEastAsia"/>
          <w:b/>
          <w:bCs/>
          <w:szCs w:val="21"/>
          <w:highlight w:val="none"/>
          <w:lang w:val="en-US" w:eastAsia="zh-CN"/>
        </w:rPr>
        <w:t>12</w:t>
      </w:r>
      <w:r>
        <w:rPr>
          <w:rFonts w:hint="eastAsia" w:ascii="宋体" w:hAnsi="宋体"/>
          <w:bCs/>
          <w:szCs w:val="21"/>
          <w:highlight w:val="none"/>
        </w:rPr>
        <w:t xml:space="preserve"> </w:t>
      </w:r>
      <w:r>
        <w:rPr>
          <w:rFonts w:hint="eastAsia" w:ascii="Times New Roman" w:hAnsi="Times New Roman" w:eastAsiaTheme="minorEastAsia"/>
          <w:szCs w:val="21"/>
          <w:highlight w:val="none"/>
          <w:lang w:val="en-US" w:eastAsia="zh-CN"/>
        </w:rPr>
        <w:t>计算预制桩植桩</w:t>
      </w:r>
      <w:r>
        <w:rPr>
          <w:rFonts w:hint="default" w:ascii="Times New Roman" w:hAnsi="Times New Roman" w:eastAsiaTheme="minorEastAsia"/>
          <w:szCs w:val="21"/>
          <w:highlight w:val="none"/>
          <w:lang w:eastAsia="zh-CN"/>
        </w:rPr>
        <w:t>的</w:t>
      </w:r>
      <w:r>
        <w:rPr>
          <w:rFonts w:hint="default" w:ascii="Times New Roman" w:hAnsi="Times New Roman" w:eastAsiaTheme="minorEastAsia"/>
          <w:szCs w:val="21"/>
          <w:highlight w:val="none"/>
        </w:rPr>
        <w:t>桩身裂缝</w:t>
      </w:r>
      <w:r>
        <w:rPr>
          <w:rFonts w:hint="eastAsia" w:ascii="Times New Roman" w:hAnsi="Times New Roman" w:eastAsiaTheme="minorEastAsia"/>
          <w:szCs w:val="21"/>
          <w:highlight w:val="none"/>
          <w:lang w:val="en-US" w:eastAsia="zh-CN"/>
        </w:rPr>
        <w:t>时，由于外芯没有钢筋且抗拉强度较低，对预制桩植桩的桩身抗拉承载力影响较小，因此按芯桩进行计算较为合理。</w:t>
      </w:r>
    </w:p>
    <w:p w14:paraId="3807FDDF">
      <w:pPr>
        <w:spacing w:line="340" w:lineRule="exact"/>
        <w:rPr>
          <w:rFonts w:hint="default" w:ascii="宋体" w:hAnsi="宋体"/>
          <w:bCs/>
          <w:szCs w:val="21"/>
          <w:highlight w:val="none"/>
          <w:lang w:val="en-US" w:eastAsia="zh-CN"/>
        </w:rPr>
      </w:pPr>
      <w:r>
        <w:rPr>
          <w:rFonts w:hint="eastAsia" w:ascii="Times New Roman" w:hAnsi="Times New Roman" w:cs="Times New Roman" w:eastAsiaTheme="minorEastAsia"/>
          <w:b/>
          <w:bCs/>
          <w:szCs w:val="21"/>
          <w:highlight w:val="none"/>
        </w:rPr>
        <w:t>4.</w:t>
      </w:r>
      <w:r>
        <w:rPr>
          <w:rFonts w:hint="eastAsia" w:ascii="Times New Roman" w:hAnsi="Times New Roman" w:cs="Times New Roman" w:eastAsiaTheme="minorEastAsia"/>
          <w:b/>
          <w:bCs/>
          <w:szCs w:val="21"/>
          <w:highlight w:val="none"/>
          <w:lang w:val="en-US" w:eastAsia="zh-CN"/>
        </w:rPr>
        <w:t>3</w:t>
      </w:r>
      <w:r>
        <w:rPr>
          <w:rFonts w:hint="eastAsia" w:ascii="Times New Roman" w:hAnsi="Times New Roman" w:cs="Times New Roman" w:eastAsiaTheme="minorEastAsia"/>
          <w:b/>
          <w:bCs/>
          <w:szCs w:val="21"/>
          <w:highlight w:val="none"/>
        </w:rPr>
        <w:t>.</w:t>
      </w:r>
      <w:r>
        <w:rPr>
          <w:rFonts w:hint="eastAsia" w:ascii="Times New Roman" w:hAnsi="Times New Roman" w:cs="Times New Roman" w:eastAsiaTheme="minorEastAsia"/>
          <w:b/>
          <w:bCs/>
          <w:szCs w:val="21"/>
          <w:highlight w:val="none"/>
          <w:lang w:val="en-US" w:eastAsia="zh-CN"/>
        </w:rPr>
        <w:t>16</w:t>
      </w:r>
      <w:r>
        <w:rPr>
          <w:rFonts w:hint="eastAsia" w:ascii="宋体" w:hAnsi="宋体"/>
          <w:bCs/>
          <w:szCs w:val="21"/>
          <w:highlight w:val="none"/>
        </w:rPr>
        <w:t xml:space="preserve"> </w:t>
      </w:r>
      <w:r>
        <w:rPr>
          <w:rFonts w:hint="eastAsia" w:ascii="宋体" w:hAnsi="宋体"/>
          <w:bCs/>
          <w:szCs w:val="21"/>
          <w:highlight w:val="none"/>
          <w:lang w:val="en-US" w:eastAsia="zh-CN"/>
        </w:rPr>
        <w:t>计算</w:t>
      </w:r>
      <w:r>
        <w:rPr>
          <w:rFonts w:hint="eastAsia" w:ascii="Times New Roman" w:hAnsi="Times New Roman" w:eastAsiaTheme="minorEastAsia"/>
          <w:szCs w:val="21"/>
          <w:highlight w:val="none"/>
          <w:lang w:val="en-US" w:eastAsia="zh-CN"/>
        </w:rPr>
        <w:t>预制桩植桩</w:t>
      </w:r>
      <w:r>
        <w:rPr>
          <w:rFonts w:hint="default" w:ascii="Times New Roman" w:hAnsi="Times New Roman" w:eastAsiaTheme="minorEastAsia"/>
          <w:szCs w:val="21"/>
          <w:highlight w:val="none"/>
          <w:lang w:eastAsia="zh-CN"/>
        </w:rPr>
        <w:t>的</w:t>
      </w:r>
      <w:r>
        <w:rPr>
          <w:rFonts w:hint="default" w:ascii="Times New Roman" w:hAnsi="Times New Roman" w:eastAsiaTheme="minorEastAsia"/>
          <w:szCs w:val="21"/>
          <w:highlight w:val="none"/>
        </w:rPr>
        <w:t>桩身压曲</w:t>
      </w:r>
      <w:r>
        <w:rPr>
          <w:rFonts w:hint="eastAsia" w:ascii="Times New Roman" w:hAnsi="Times New Roman" w:eastAsiaTheme="minorEastAsia"/>
          <w:szCs w:val="21"/>
          <w:highlight w:val="none"/>
          <w:lang w:val="en-US" w:eastAsia="zh-CN"/>
        </w:rPr>
        <w:t>时，由于内外芯的协同作用，受压稳定性较预制桩会有所改善，可适当考虑外芯的有利作用。</w:t>
      </w:r>
      <w:r>
        <w:rPr>
          <w:rFonts w:hint="eastAsia" w:ascii="宋体" w:hAnsi="宋体"/>
          <w:bCs/>
          <w:szCs w:val="21"/>
          <w:highlight w:val="none"/>
          <w:lang w:val="en-US" w:eastAsia="zh-CN"/>
        </w:rPr>
        <w:t>桩身参数根据外芯材料的不同采取不同的计算方式。当外芯材料为水泥土或固化土或水泥砂浆时，按芯桩参数取值。当外芯材料为混凝土时，按复合截面参数取值。可按等刚度的原则换算复合截面面积。</w:t>
      </w:r>
    </w:p>
    <w:p w14:paraId="1B1912BF">
      <w:pPr>
        <w:spacing w:line="340" w:lineRule="exact"/>
        <w:rPr>
          <w:rFonts w:hint="default" w:ascii="宋体" w:hAnsi="宋体"/>
          <w:bCs/>
          <w:szCs w:val="21"/>
          <w:highlight w:val="none"/>
          <w:lang w:val="en-US" w:eastAsia="zh-CN"/>
        </w:rPr>
      </w:pPr>
      <w:r>
        <w:rPr>
          <w:rFonts w:hint="eastAsia" w:ascii="Times New Roman" w:hAnsi="Times New Roman" w:cs="Times New Roman" w:eastAsiaTheme="minorEastAsia"/>
          <w:b/>
          <w:bCs/>
          <w:szCs w:val="21"/>
          <w:highlight w:val="none"/>
          <w:lang w:val="en-US" w:eastAsia="zh-CN"/>
        </w:rPr>
        <w:t>4.3.17</w:t>
      </w:r>
      <w:r>
        <w:rPr>
          <w:rFonts w:hint="eastAsia" w:ascii="宋体" w:hAnsi="宋体"/>
          <w:bCs/>
          <w:szCs w:val="21"/>
          <w:highlight w:val="none"/>
        </w:rPr>
        <w:t xml:space="preserve"> </w:t>
      </w:r>
      <w:r>
        <w:rPr>
          <w:rFonts w:hint="eastAsia" w:ascii="宋体" w:hAnsi="宋体"/>
          <w:bCs/>
          <w:szCs w:val="21"/>
          <w:highlight w:val="none"/>
          <w:lang w:val="en-US" w:eastAsia="zh-CN"/>
        </w:rPr>
        <w:t>在计算桩身刚度时，桩身参数根据外芯材料的不同采取不同的计算方式。当外芯材料为水泥土或固化土或水泥砂浆时，按芯桩参数取值。当外芯材料为混凝土时，按复合截面参数取值。</w:t>
      </w:r>
    </w:p>
    <w:p w14:paraId="2152387C">
      <w:pPr>
        <w:pStyle w:val="3"/>
        <w:spacing w:before="312" w:after="312"/>
        <w:rPr>
          <w:rFonts w:hint="eastAsia" w:ascii="黑体" w:hAnsi="黑体" w:eastAsia="黑体"/>
          <w:highlight w:val="none"/>
          <w:lang w:val="en-US" w:eastAsia="zh-CN"/>
        </w:rPr>
      </w:pPr>
      <w:bookmarkStart w:id="275" w:name="_Toc1087"/>
      <w:bookmarkStart w:id="276" w:name="_Toc28393"/>
      <w:bookmarkStart w:id="277" w:name="_Toc20434"/>
      <w:bookmarkStart w:id="278" w:name="_Toc6634"/>
      <w:bookmarkStart w:id="279" w:name="_Toc22641"/>
      <w:bookmarkStart w:id="280" w:name="_Toc18958"/>
      <w:bookmarkStart w:id="281" w:name="_Toc14576"/>
      <w:bookmarkStart w:id="282" w:name="_Toc32722"/>
      <w:bookmarkStart w:id="283" w:name="_4.4 构造要求_1"/>
      <w:r>
        <w:rPr>
          <w:rFonts w:hint="eastAsia" w:ascii="Times New Roman" w:hAnsi="Times New Roman" w:cs="Times New Roman"/>
          <w:highlight w:val="none"/>
        </w:rPr>
        <w:t xml:space="preserve">4.4 </w:t>
      </w:r>
      <w:r>
        <w:rPr>
          <w:rFonts w:hint="eastAsia" w:ascii="黑体" w:hAnsi="黑体"/>
          <w:highlight w:val="none"/>
        </w:rPr>
        <w:t>构造</w:t>
      </w:r>
      <w:bookmarkEnd w:id="275"/>
      <w:bookmarkEnd w:id="276"/>
      <w:bookmarkEnd w:id="277"/>
      <w:bookmarkEnd w:id="278"/>
      <w:bookmarkEnd w:id="279"/>
      <w:bookmarkEnd w:id="280"/>
      <w:bookmarkEnd w:id="281"/>
      <w:r>
        <w:rPr>
          <w:rFonts w:hint="eastAsia" w:ascii="黑体" w:hAnsi="黑体"/>
          <w:highlight w:val="none"/>
          <w:lang w:val="en-US" w:eastAsia="zh-CN"/>
        </w:rPr>
        <w:t>要求</w:t>
      </w:r>
      <w:bookmarkEnd w:id="282"/>
    </w:p>
    <w:bookmarkEnd w:id="283"/>
    <w:p w14:paraId="49FC0C3E">
      <w:pPr>
        <w:spacing w:line="340" w:lineRule="exact"/>
        <w:rPr>
          <w:rFonts w:hint="eastAsia" w:ascii="宋体" w:hAnsi="宋体"/>
          <w:color w:val="auto"/>
          <w:szCs w:val="21"/>
          <w:highlight w:val="none"/>
        </w:rPr>
      </w:pPr>
      <w:r>
        <w:rPr>
          <w:rFonts w:hint="eastAsia" w:ascii="Times New Roman" w:hAnsi="Times New Roman" w:cs="Times New Roman" w:eastAsiaTheme="minorEastAsia"/>
          <w:b/>
          <w:bCs/>
          <w:szCs w:val="21"/>
          <w:highlight w:val="none"/>
          <w:lang w:val="en-US" w:eastAsia="zh-CN"/>
        </w:rPr>
        <w:t>4.4.1</w:t>
      </w:r>
      <w:r>
        <w:rPr>
          <w:rFonts w:hint="eastAsia" w:ascii="黑体" w:hAnsi="黑体" w:eastAsia="黑体"/>
          <w:szCs w:val="21"/>
          <w:highlight w:val="none"/>
        </w:rPr>
        <w:t xml:space="preserve"> </w:t>
      </w:r>
      <w:r>
        <w:rPr>
          <w:rFonts w:hint="eastAsia" w:ascii="宋体" w:hAnsi="宋体"/>
          <w:szCs w:val="21"/>
          <w:highlight w:val="none"/>
          <w:lang w:val="en-US" w:eastAsia="zh-CN"/>
        </w:rPr>
        <w:t>水泥土中水泥掺量和水泥浆水灰比的确定应根据施工可行性、水泥土强度、项目经济性等多种因素综合确定</w:t>
      </w:r>
      <w:r>
        <w:rPr>
          <w:rFonts w:hint="eastAsia" w:ascii="宋体" w:hAnsi="宋体"/>
          <w:color w:val="auto"/>
          <w:szCs w:val="21"/>
          <w:highlight w:val="none"/>
        </w:rPr>
        <w:t>。采用固化土时应根据外芯性能要求选用固化剂及有关参数，并符合行业标准《软土固化剂》</w:t>
      </w:r>
      <w:r>
        <w:rPr>
          <w:rFonts w:hint="default" w:ascii="Times New Roman" w:hAnsi="Times New Roman" w:cs="Times New Roman"/>
          <w:color w:val="auto"/>
          <w:szCs w:val="21"/>
          <w:highlight w:val="none"/>
        </w:rPr>
        <w:t>CJT</w:t>
      </w:r>
      <w:r>
        <w:rPr>
          <w:rFonts w:hint="default"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526</w:t>
      </w:r>
      <w:r>
        <w:rPr>
          <w:rFonts w:hint="eastAsia" w:ascii="宋体" w:hAnsi="宋体"/>
          <w:color w:val="auto"/>
          <w:szCs w:val="21"/>
          <w:highlight w:val="none"/>
          <w:lang w:val="en-US" w:eastAsia="zh-CN"/>
        </w:rPr>
        <w:t>要求</w:t>
      </w:r>
      <w:r>
        <w:rPr>
          <w:rFonts w:hint="eastAsia" w:ascii="宋体" w:hAnsi="宋体"/>
          <w:color w:val="auto"/>
          <w:szCs w:val="21"/>
          <w:highlight w:val="none"/>
        </w:rPr>
        <w:t>。</w:t>
      </w:r>
    </w:p>
    <w:p w14:paraId="096BF50A">
      <w:pPr>
        <w:spacing w:line="340" w:lineRule="exact"/>
        <w:rPr>
          <w:rFonts w:hint="eastAsia" w:ascii="宋体" w:hAnsi="宋体"/>
          <w:szCs w:val="21"/>
          <w:highlight w:val="none"/>
          <w:lang w:val="en-US" w:eastAsia="zh-CN"/>
        </w:rPr>
      </w:pPr>
      <w:r>
        <w:rPr>
          <w:rFonts w:hint="eastAsia" w:ascii="Times New Roman" w:hAnsi="Times New Roman" w:cs="Times New Roman" w:eastAsiaTheme="minorEastAsia"/>
          <w:b/>
          <w:bCs/>
          <w:szCs w:val="21"/>
          <w:highlight w:val="none"/>
          <w:lang w:val="en-US" w:eastAsia="zh-CN"/>
        </w:rPr>
        <w:t>4.4.4</w:t>
      </w:r>
      <w:r>
        <w:rPr>
          <w:rFonts w:hint="eastAsia" w:ascii="黑体" w:hAnsi="黑体" w:eastAsia="黑体"/>
          <w:szCs w:val="21"/>
          <w:highlight w:val="none"/>
        </w:rPr>
        <w:t xml:space="preserve"> </w:t>
      </w:r>
      <w:r>
        <w:rPr>
          <w:rFonts w:hint="eastAsia" w:ascii="宋体" w:hAnsi="宋体"/>
          <w:szCs w:val="21"/>
          <w:highlight w:val="none"/>
          <w:lang w:val="en-US" w:eastAsia="zh-CN"/>
        </w:rPr>
        <w:t>无论承压桩或抗拔桩，桩顶均应设置填芯混凝土，主要用于插筋的锚固，有利于桩和承台的连接，同时从整体上改善桩顶部位桩身的抗剪、抗弯能力。桩顶填芯混凝土长度与孔内连接钢筋相同，一般做法是用</w:t>
      </w:r>
      <w:r>
        <w:rPr>
          <w:rFonts w:hint="default" w:ascii="Times New Roman" w:hAnsi="Times New Roman" w:cs="Times New Roman"/>
          <w:szCs w:val="21"/>
          <w:highlight w:val="none"/>
          <w:lang w:val="en-US" w:eastAsia="zh-CN"/>
        </w:rPr>
        <w:t>2mm ~3mm</w:t>
      </w:r>
      <w:r>
        <w:rPr>
          <w:rFonts w:hint="eastAsia" w:ascii="宋体" w:hAnsi="宋体"/>
          <w:szCs w:val="21"/>
          <w:highlight w:val="none"/>
          <w:lang w:val="en-US" w:eastAsia="zh-CN"/>
        </w:rPr>
        <w:t>厚的钢板做成一个托盘，托盘的作用是挡住填芯混凝土不下落到桩底。施工作业时，先将桩顶内孔清洗干净，将钢筋笼连同托盘放入桩内孔，放人深度应满足设计要求，然后临时固定钢筋笼，再灌人填芯混凝土，用振动棒振动密实。</w:t>
      </w:r>
    </w:p>
    <w:p w14:paraId="6390BDF2">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val="en-US" w:eastAsia="zh-CN"/>
        </w:rPr>
      </w:pPr>
      <w:r>
        <w:rPr>
          <w:rFonts w:hint="eastAsia" w:ascii="宋体" w:hAnsi="宋体"/>
          <w:szCs w:val="21"/>
          <w:highlight w:val="none"/>
          <w:lang w:val="en-US" w:eastAsia="zh-CN"/>
        </w:rPr>
        <w:t>填芯混凝土的施工质量与整个预制桩植桩基础的质量紧密相连，故一定要精心</w:t>
      </w:r>
      <w:r>
        <w:rPr>
          <w:rFonts w:hint="eastAsia" w:ascii="宋体" w:hAnsi="宋体"/>
          <w:bCs/>
          <w:szCs w:val="21"/>
          <w:highlight w:val="none"/>
          <w:lang w:val="en-US" w:eastAsia="zh-CN"/>
        </w:rPr>
        <w:t>施工</w:t>
      </w:r>
      <w:r>
        <w:rPr>
          <w:rFonts w:hint="eastAsia" w:ascii="宋体" w:hAnsi="宋体"/>
          <w:szCs w:val="21"/>
          <w:highlight w:val="none"/>
          <w:lang w:val="en-US" w:eastAsia="zh-CN"/>
        </w:rPr>
        <w:t>，加强过程控制，确保质量。实践表明，填芯采用补偿收缩混凝土或微膨胀混凝土可取得较好效果。膨胀率过大，影响填芯混凝土的强度，也会对预制桩内壁产生环向压力，使桩头处于复杂受力状态，甚至导致桩头劈裂。膨胀率过小补偿不了混凝土的干缩，填芯混凝土与管壁间结合不紧密，不能传递拉力。采用膨胀剂的品种和数量应通过实验确定，实验应按现行国家标准《混凝土外加剂应用技术规范》</w:t>
      </w:r>
      <w:r>
        <w:rPr>
          <w:rFonts w:hint="eastAsia" w:ascii="Times New Roman" w:hAnsi="Times New Roman" w:cs="Times New Roman" w:eastAsiaTheme="minorEastAsia"/>
          <w:szCs w:val="21"/>
          <w:highlight w:val="none"/>
          <w:lang w:val="en-US" w:eastAsia="zh-CN"/>
        </w:rPr>
        <w:t>GB 50119</w:t>
      </w:r>
      <w:r>
        <w:rPr>
          <w:rFonts w:hint="eastAsia" w:ascii="宋体" w:hAnsi="宋体"/>
          <w:szCs w:val="21"/>
          <w:highlight w:val="none"/>
          <w:lang w:val="en-US" w:eastAsia="zh-CN"/>
        </w:rPr>
        <w:t>的有关规定执行。</w:t>
      </w:r>
      <w:r>
        <w:rPr>
          <w:rFonts w:hint="eastAsia" w:ascii="宋体" w:hAnsi="宋体"/>
          <w:szCs w:val="21"/>
          <w:highlight w:val="none"/>
          <w:lang w:val="en-US" w:eastAsia="zh-CN"/>
        </w:rPr>
        <w:br w:type="page"/>
      </w:r>
    </w:p>
    <w:p w14:paraId="09464487">
      <w:pPr>
        <w:pStyle w:val="2"/>
        <w:spacing w:before="156" w:after="156"/>
        <w:rPr>
          <w:highlight w:val="none"/>
        </w:rPr>
      </w:pPr>
      <w:bookmarkStart w:id="284" w:name="_Toc22983"/>
      <w:bookmarkStart w:id="285" w:name="_Toc18055"/>
      <w:bookmarkStart w:id="286" w:name="_Toc21287"/>
      <w:bookmarkStart w:id="287" w:name="_Toc23794"/>
      <w:bookmarkStart w:id="288" w:name="_Toc14254"/>
      <w:bookmarkStart w:id="289" w:name="_Toc15019"/>
      <w:bookmarkStart w:id="290" w:name="_Toc4197"/>
      <w:bookmarkStart w:id="291" w:name="_5 施工_1"/>
      <w:r>
        <w:rPr>
          <w:rFonts w:hint="eastAsia" w:ascii="Times New Roman" w:hAnsi="Times New Roman" w:eastAsia="黑体" w:cs="Times New Roman"/>
          <w:bCs/>
          <w:kern w:val="44"/>
          <w:sz w:val="28"/>
          <w:szCs w:val="44"/>
          <w:highlight w:val="none"/>
          <w:lang w:val="en-US" w:eastAsia="zh-CN" w:bidi="ar-SA"/>
        </w:rPr>
        <w:t xml:space="preserve">5 </w:t>
      </w:r>
      <w:r>
        <w:rPr>
          <w:rFonts w:hint="eastAsia"/>
          <w:highlight w:val="none"/>
          <w:lang w:val="en-US" w:eastAsia="zh-CN"/>
        </w:rPr>
        <w:t>施工</w:t>
      </w:r>
      <w:bookmarkEnd w:id="284"/>
      <w:bookmarkEnd w:id="285"/>
      <w:bookmarkEnd w:id="286"/>
      <w:bookmarkEnd w:id="287"/>
      <w:bookmarkEnd w:id="288"/>
      <w:bookmarkEnd w:id="289"/>
      <w:bookmarkEnd w:id="290"/>
    </w:p>
    <w:bookmarkEnd w:id="291"/>
    <w:p w14:paraId="3FD04894">
      <w:pPr>
        <w:pStyle w:val="3"/>
        <w:spacing w:before="312" w:after="312"/>
        <w:rPr>
          <w:rFonts w:ascii="黑体" w:hAnsi="黑体"/>
          <w:highlight w:val="none"/>
        </w:rPr>
      </w:pPr>
      <w:bookmarkStart w:id="292" w:name="_Toc18729"/>
      <w:bookmarkStart w:id="293" w:name="_Toc19299"/>
      <w:bookmarkStart w:id="294" w:name="_Toc8764"/>
      <w:bookmarkStart w:id="295" w:name="_Toc9991"/>
      <w:bookmarkStart w:id="296" w:name="_Toc18012"/>
      <w:bookmarkStart w:id="297" w:name="_Toc32172"/>
      <w:bookmarkStart w:id="298" w:name="_Toc30835"/>
      <w:bookmarkStart w:id="299" w:name="_Toc7"/>
      <w:bookmarkStart w:id="300" w:name="_5.1 一般规定_1"/>
      <w:r>
        <w:rPr>
          <w:rFonts w:hint="eastAsia" w:ascii="Times New Roman" w:hAnsi="Times New Roman" w:cs="Times New Roman"/>
          <w:highlight w:val="none"/>
        </w:rPr>
        <w:t xml:space="preserve">5.1 </w:t>
      </w:r>
      <w:r>
        <w:rPr>
          <w:rFonts w:hint="eastAsia" w:ascii="黑体" w:hAnsi="黑体"/>
          <w:highlight w:val="none"/>
          <w:lang w:val="en-US" w:eastAsia="zh-CN"/>
        </w:rPr>
        <w:t>一般规定</w:t>
      </w:r>
      <w:bookmarkEnd w:id="292"/>
      <w:bookmarkEnd w:id="293"/>
      <w:bookmarkEnd w:id="294"/>
      <w:bookmarkEnd w:id="295"/>
      <w:bookmarkEnd w:id="296"/>
      <w:bookmarkEnd w:id="297"/>
      <w:bookmarkEnd w:id="298"/>
      <w:bookmarkEnd w:id="299"/>
    </w:p>
    <w:bookmarkEnd w:id="300"/>
    <w:p w14:paraId="75109286">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5.1.2</w:t>
      </w:r>
      <w:r>
        <w:rPr>
          <w:rFonts w:hint="eastAsia" w:ascii="Times New Roman" w:hAnsi="Times New Roman" w:cs="Times New Roman" w:eastAsiaTheme="minorEastAsia"/>
          <w:szCs w:val="21"/>
          <w:highlight w:val="none"/>
        </w:rPr>
        <w:t xml:space="preserve"> </w:t>
      </w:r>
      <w:r>
        <w:rPr>
          <w:rFonts w:hint="eastAsia" w:ascii="宋体" w:hAnsi="宋体"/>
          <w:szCs w:val="21"/>
          <w:highlight w:val="none"/>
          <w:lang w:eastAsia="zh-CN"/>
        </w:rPr>
        <w:t>应综合考虑场地地层分布情况、上部结构荷载、拟采用桩参数等，按本</w:t>
      </w:r>
      <w:r>
        <w:rPr>
          <w:rFonts w:hint="eastAsia" w:ascii="宋体" w:hAnsi="宋体"/>
          <w:szCs w:val="21"/>
          <w:highlight w:val="none"/>
          <w:lang w:val="en-US" w:eastAsia="zh-CN"/>
        </w:rPr>
        <w:t>规范相关</w:t>
      </w:r>
      <w:r>
        <w:rPr>
          <w:rFonts w:hint="eastAsia" w:ascii="宋体" w:hAnsi="宋体"/>
          <w:szCs w:val="21"/>
          <w:highlight w:val="none"/>
          <w:lang w:eastAsia="zh-CN"/>
        </w:rPr>
        <w:t>要求确定成桩工艺性试验位置与数量。</w:t>
      </w:r>
    </w:p>
    <w:p w14:paraId="41364B12">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bCs/>
          <w:szCs w:val="21"/>
          <w:highlight w:val="none"/>
          <w:lang w:eastAsia="zh-CN"/>
        </w:rPr>
      </w:pPr>
      <w:r>
        <w:rPr>
          <w:rFonts w:hint="eastAsia" w:ascii="宋体" w:hAnsi="宋体"/>
          <w:bCs/>
          <w:szCs w:val="21"/>
          <w:highlight w:val="none"/>
          <w:lang w:eastAsia="zh-CN"/>
        </w:rPr>
        <w:t>成桩工艺性试验的目的是：验证地层条件适应性；确定实际成桩步骤、浆液压力、水压、气压、水灰比、钻杆提升速度、钻杆旋转速度等工艺参数；了解钻进阻力及植桩情况并采取相应措施。</w:t>
      </w:r>
    </w:p>
    <w:p w14:paraId="12E665D0">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成桩工艺性试验时应详细记录不同时间或深度处对应的施工参数值，并采用开挖、井径仪、取芯等方法检验成桩质量，为选择施工机械、确定相关施工工艺及参数和施工措施提供详尽的资料。</w:t>
      </w:r>
    </w:p>
    <w:p w14:paraId="242C4F25">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bCs/>
          <w:szCs w:val="21"/>
          <w:highlight w:val="none"/>
          <w:lang w:eastAsia="zh-CN"/>
        </w:rPr>
      </w:pPr>
      <w:r>
        <w:rPr>
          <w:rFonts w:hint="eastAsia" w:ascii="宋体" w:hAnsi="宋体"/>
          <w:bCs/>
          <w:szCs w:val="21"/>
          <w:highlight w:val="none"/>
          <w:lang w:eastAsia="zh-CN"/>
        </w:rPr>
        <w:t>成桩工艺性试验时可以采用超声波、井径仪或钻芯等方法检查成桩直径及桩身均匀程度。</w:t>
      </w:r>
    </w:p>
    <w:p w14:paraId="3498F291">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bCs/>
          <w:szCs w:val="21"/>
          <w:highlight w:val="none"/>
          <w:lang w:eastAsia="zh-CN"/>
        </w:rPr>
      </w:pPr>
      <w:r>
        <w:rPr>
          <w:rFonts w:hint="eastAsia" w:ascii="宋体" w:hAnsi="宋体"/>
          <w:bCs/>
          <w:szCs w:val="21"/>
          <w:highlight w:val="none"/>
          <w:lang w:eastAsia="zh-CN"/>
        </w:rPr>
        <w:t>成桩工艺性试验应选择有代表性场地进行，试验桩的直径、长度等参数应符合设计要求。</w:t>
      </w:r>
    </w:p>
    <w:p w14:paraId="34538012">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bCs/>
          <w:szCs w:val="21"/>
          <w:highlight w:val="none"/>
          <w:lang w:eastAsia="zh-CN"/>
        </w:rPr>
      </w:pPr>
      <w:r>
        <w:rPr>
          <w:rFonts w:hint="eastAsia" w:ascii="宋体" w:hAnsi="宋体"/>
          <w:bCs/>
          <w:szCs w:val="21"/>
          <w:highlight w:val="none"/>
          <w:lang w:eastAsia="zh-CN"/>
        </w:rPr>
        <w:t>在条件许可时，可以将成</w:t>
      </w:r>
      <w:r>
        <w:rPr>
          <w:rFonts w:hint="eastAsia" w:ascii="宋体" w:hAnsi="宋体"/>
          <w:bCs/>
          <w:szCs w:val="21"/>
          <w:highlight w:val="none"/>
          <w:lang w:val="en-US" w:eastAsia="zh-CN"/>
        </w:rPr>
        <w:t>桩</w:t>
      </w:r>
      <w:r>
        <w:rPr>
          <w:rFonts w:hint="eastAsia" w:ascii="宋体" w:hAnsi="宋体"/>
          <w:bCs/>
          <w:szCs w:val="21"/>
          <w:highlight w:val="none"/>
          <w:lang w:eastAsia="zh-CN"/>
        </w:rPr>
        <w:t>工艺性试验与静载试验合二为一。</w:t>
      </w:r>
    </w:p>
    <w:p w14:paraId="48D044E8">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5.1.3</w:t>
      </w:r>
      <w:r>
        <w:rPr>
          <w:rFonts w:hint="eastAsia" w:ascii="Times New Roman" w:hAnsi="Times New Roman" w:cs="Times New Roman" w:eastAsiaTheme="minorEastAsia"/>
          <w:szCs w:val="21"/>
          <w:highlight w:val="none"/>
        </w:rPr>
        <w:t xml:space="preserve"> </w:t>
      </w:r>
      <w:r>
        <w:rPr>
          <w:rFonts w:hint="eastAsia" w:ascii="宋体" w:hAnsi="宋体"/>
          <w:szCs w:val="21"/>
          <w:highlight w:val="none"/>
          <w:lang w:val="en-US" w:eastAsia="zh-CN"/>
        </w:rPr>
        <w:t>预制桩</w:t>
      </w:r>
      <w:r>
        <w:rPr>
          <w:rFonts w:hint="eastAsia" w:ascii="宋体" w:hAnsi="宋体"/>
          <w:szCs w:val="21"/>
          <w:highlight w:val="none"/>
          <w:lang w:eastAsia="zh-CN"/>
        </w:rPr>
        <w:t>垂直度控制对</w:t>
      </w:r>
      <w:r>
        <w:rPr>
          <w:rFonts w:hint="eastAsia" w:ascii="宋体" w:hAnsi="宋体"/>
          <w:szCs w:val="21"/>
          <w:highlight w:val="none"/>
          <w:lang w:val="en-US" w:eastAsia="zh-CN"/>
        </w:rPr>
        <w:t>预制桩植桩</w:t>
      </w:r>
      <w:r>
        <w:rPr>
          <w:rFonts w:hint="eastAsia" w:ascii="宋体" w:hAnsi="宋体"/>
          <w:szCs w:val="21"/>
          <w:highlight w:val="none"/>
          <w:lang w:eastAsia="zh-CN"/>
        </w:rPr>
        <w:t>成桩质量相当关键，应制</w:t>
      </w:r>
    </w:p>
    <w:p w14:paraId="4976F1D1">
      <w:pPr>
        <w:spacing w:line="340" w:lineRule="exact"/>
        <w:rPr>
          <w:rFonts w:hint="eastAsia" w:ascii="宋体" w:hAnsi="宋体"/>
          <w:szCs w:val="21"/>
          <w:highlight w:val="none"/>
          <w:lang w:eastAsia="zh-CN"/>
        </w:rPr>
      </w:pPr>
      <w:r>
        <w:rPr>
          <w:rFonts w:hint="eastAsia" w:ascii="宋体" w:hAnsi="宋体"/>
          <w:szCs w:val="21"/>
          <w:highlight w:val="none"/>
          <w:lang w:eastAsia="zh-CN"/>
        </w:rPr>
        <w:t>定可靠的垂直度控制措施。</w:t>
      </w:r>
    </w:p>
    <w:p w14:paraId="15A16B7E">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采用组合式机械进行</w:t>
      </w:r>
      <w:r>
        <w:rPr>
          <w:rFonts w:hint="eastAsia" w:ascii="宋体" w:hAnsi="宋体"/>
          <w:szCs w:val="21"/>
          <w:highlight w:val="none"/>
          <w:lang w:val="en-US" w:eastAsia="zh-CN"/>
        </w:rPr>
        <w:t>预制桩植桩</w:t>
      </w:r>
      <w:r>
        <w:rPr>
          <w:rFonts w:hint="eastAsia" w:ascii="宋体" w:hAnsi="宋体"/>
          <w:szCs w:val="21"/>
          <w:highlight w:val="none"/>
          <w:lang w:eastAsia="zh-CN"/>
        </w:rPr>
        <w:t>施工时，为保证</w:t>
      </w:r>
      <w:r>
        <w:rPr>
          <w:rFonts w:hint="eastAsia" w:ascii="宋体" w:hAnsi="宋体"/>
          <w:szCs w:val="21"/>
          <w:highlight w:val="none"/>
          <w:lang w:val="en-US" w:eastAsia="zh-CN"/>
        </w:rPr>
        <w:t>预制</w:t>
      </w:r>
      <w:r>
        <w:rPr>
          <w:rFonts w:hint="eastAsia" w:ascii="宋体" w:hAnsi="宋体"/>
          <w:szCs w:val="21"/>
          <w:highlight w:val="none"/>
          <w:lang w:eastAsia="zh-CN"/>
        </w:rPr>
        <w:t>桩与</w:t>
      </w:r>
      <w:r>
        <w:rPr>
          <w:rFonts w:hint="eastAsia" w:ascii="宋体" w:hAnsi="宋体"/>
          <w:szCs w:val="21"/>
          <w:highlight w:val="none"/>
          <w:lang w:val="en-US" w:eastAsia="zh-CN"/>
        </w:rPr>
        <w:t>预成孔位</w:t>
      </w:r>
      <w:r>
        <w:rPr>
          <w:rFonts w:hint="eastAsia" w:ascii="宋体" w:hAnsi="宋体"/>
          <w:szCs w:val="21"/>
          <w:highlight w:val="none"/>
          <w:lang w:eastAsia="zh-CN"/>
        </w:rPr>
        <w:t>之间的同轴度，在</w:t>
      </w:r>
      <w:r>
        <w:rPr>
          <w:rFonts w:hint="eastAsia" w:ascii="宋体" w:hAnsi="宋体"/>
          <w:szCs w:val="21"/>
          <w:highlight w:val="none"/>
          <w:lang w:val="en-US" w:eastAsia="zh-CN"/>
        </w:rPr>
        <w:t>预成孔</w:t>
      </w:r>
      <w:r>
        <w:rPr>
          <w:rFonts w:hint="eastAsia" w:ascii="宋体" w:hAnsi="宋体"/>
          <w:szCs w:val="21"/>
          <w:highlight w:val="none"/>
          <w:lang w:eastAsia="zh-CN"/>
        </w:rPr>
        <w:t>施工结束后宜采用精度为</w:t>
      </w:r>
      <w:r>
        <w:rPr>
          <w:rFonts w:hint="eastAsia" w:ascii="Times New Roman" w:hAnsi="Times New Roman" w:cs="Times New Roman" w:eastAsiaTheme="minorEastAsia"/>
          <w:szCs w:val="21"/>
          <w:highlight w:val="none"/>
          <w:lang w:eastAsia="zh-CN"/>
        </w:rPr>
        <w:t>2mm+2</w:t>
      </w:r>
      <w:r>
        <w:rPr>
          <w:rFonts w:hint="eastAsia" w:ascii="Times New Roman" w:hAnsi="Times New Roman" w:cs="Times New Roman" w:eastAsiaTheme="minorEastAsia"/>
          <w:szCs w:val="21"/>
          <w:highlight w:val="none"/>
          <w:lang w:val="en-US" w:eastAsia="zh-CN"/>
        </w:rPr>
        <w:t>×</w:t>
      </w:r>
      <w:r>
        <w:rPr>
          <w:rFonts w:hint="eastAsia" w:ascii="Times New Roman" w:hAnsi="Times New Roman" w:cs="Times New Roman" w:eastAsiaTheme="minorEastAsia"/>
          <w:szCs w:val="21"/>
          <w:highlight w:val="none"/>
          <w:lang w:eastAsia="zh-CN"/>
        </w:rPr>
        <w:t>10</w:t>
      </w:r>
      <w:r>
        <w:rPr>
          <w:rFonts w:hint="eastAsia" w:ascii="Times New Roman" w:hAnsi="Times New Roman" w:cs="Times New Roman" w:eastAsiaTheme="minorEastAsia"/>
          <w:szCs w:val="21"/>
          <w:highlight w:val="none"/>
          <w:vertAlign w:val="superscript"/>
          <w:lang w:eastAsia="zh-CN"/>
        </w:rPr>
        <w:t>-6</w:t>
      </w:r>
      <w:r>
        <w:rPr>
          <w:rFonts w:hint="eastAsia" w:ascii="Times New Roman" w:hAnsi="Times New Roman" w:cs="Times New Roman" w:eastAsiaTheme="minorEastAsia"/>
          <w:szCs w:val="21"/>
          <w:highlight w:val="none"/>
          <w:lang w:eastAsia="zh-CN"/>
        </w:rPr>
        <w:t>S</w:t>
      </w:r>
      <w:r>
        <w:rPr>
          <w:rFonts w:hint="eastAsia" w:ascii="宋体" w:hAnsi="宋体"/>
          <w:szCs w:val="21"/>
          <w:highlight w:val="none"/>
          <w:lang w:eastAsia="zh-CN"/>
        </w:rPr>
        <w:t xml:space="preserve"> ( </w:t>
      </w:r>
      <w:r>
        <w:rPr>
          <w:rFonts w:hint="eastAsia" w:ascii="Times New Roman" w:hAnsi="Times New Roman" w:cs="Times New Roman" w:eastAsiaTheme="minorEastAsia"/>
          <w:szCs w:val="21"/>
          <w:highlight w:val="none"/>
          <w:lang w:eastAsia="zh-CN"/>
        </w:rPr>
        <w:t>S</w:t>
      </w:r>
      <w:r>
        <w:rPr>
          <w:rFonts w:hint="eastAsia" w:ascii="宋体" w:hAnsi="宋体"/>
          <w:szCs w:val="21"/>
          <w:highlight w:val="none"/>
          <w:lang w:eastAsia="zh-CN"/>
        </w:rPr>
        <w:t>为测量距离，单位为</w:t>
      </w:r>
      <w:r>
        <w:rPr>
          <w:rFonts w:hint="eastAsia" w:ascii="Times New Roman" w:hAnsi="Times New Roman" w:cs="Times New Roman" w:eastAsiaTheme="minorEastAsia"/>
          <w:szCs w:val="21"/>
          <w:highlight w:val="none"/>
          <w:lang w:eastAsia="zh-CN"/>
        </w:rPr>
        <w:t>km</w:t>
      </w:r>
      <w:r>
        <w:rPr>
          <w:rFonts w:hint="eastAsia" w:ascii="宋体" w:hAnsi="宋体"/>
          <w:szCs w:val="21"/>
          <w:highlight w:val="none"/>
          <w:lang w:eastAsia="zh-CN"/>
        </w:rPr>
        <w:t>)的全站仪对</w:t>
      </w:r>
      <w:r>
        <w:rPr>
          <w:rFonts w:hint="eastAsia" w:ascii="宋体" w:hAnsi="宋体"/>
          <w:szCs w:val="21"/>
          <w:highlight w:val="none"/>
          <w:lang w:val="en-US" w:eastAsia="zh-CN"/>
        </w:rPr>
        <w:t>预制桩</w:t>
      </w:r>
      <w:r>
        <w:rPr>
          <w:rFonts w:hint="eastAsia" w:ascii="宋体" w:hAnsi="宋体"/>
          <w:szCs w:val="21"/>
          <w:highlight w:val="none"/>
          <w:lang w:eastAsia="zh-CN"/>
        </w:rPr>
        <w:t>植入位置进行放样定位，定位允许偏差应为</w:t>
      </w:r>
      <w:r>
        <w:rPr>
          <w:rFonts w:hint="eastAsia" w:ascii="Times New Roman" w:hAnsi="Times New Roman" w:cs="Times New Roman" w:eastAsiaTheme="minorEastAsia"/>
          <w:szCs w:val="21"/>
          <w:highlight w:val="none"/>
          <w:lang w:eastAsia="zh-CN"/>
        </w:rPr>
        <w:t>10mm</w:t>
      </w:r>
      <w:r>
        <w:rPr>
          <w:rFonts w:hint="eastAsia" w:ascii="宋体" w:hAnsi="宋体"/>
          <w:szCs w:val="21"/>
          <w:highlight w:val="none"/>
          <w:lang w:eastAsia="zh-CN"/>
        </w:rPr>
        <w:t>。采用整体式机械时，在</w:t>
      </w:r>
      <w:r>
        <w:rPr>
          <w:rFonts w:hint="eastAsia" w:ascii="宋体" w:hAnsi="宋体"/>
          <w:szCs w:val="21"/>
          <w:highlight w:val="none"/>
          <w:lang w:val="en-US" w:eastAsia="zh-CN"/>
        </w:rPr>
        <w:t>预成孔</w:t>
      </w:r>
      <w:r>
        <w:rPr>
          <w:rFonts w:hint="eastAsia" w:ascii="宋体" w:hAnsi="宋体"/>
          <w:szCs w:val="21"/>
          <w:highlight w:val="none"/>
          <w:lang w:eastAsia="zh-CN"/>
        </w:rPr>
        <w:t>施工完成后通过旋转桩架进行</w:t>
      </w:r>
      <w:r>
        <w:rPr>
          <w:rFonts w:hint="eastAsia" w:ascii="宋体" w:hAnsi="宋体"/>
          <w:szCs w:val="21"/>
          <w:highlight w:val="none"/>
          <w:lang w:val="en-US" w:eastAsia="zh-CN"/>
        </w:rPr>
        <w:t>预制桩</w:t>
      </w:r>
      <w:r>
        <w:rPr>
          <w:rFonts w:hint="eastAsia" w:ascii="宋体" w:hAnsi="宋体"/>
          <w:szCs w:val="21"/>
          <w:highlight w:val="none"/>
          <w:lang w:eastAsia="zh-CN"/>
        </w:rPr>
        <w:t>的定位。</w:t>
      </w:r>
    </w:p>
    <w:p w14:paraId="3AC2E35D">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在</w:t>
      </w:r>
      <w:r>
        <w:rPr>
          <w:rFonts w:hint="eastAsia" w:ascii="宋体" w:hAnsi="宋体"/>
          <w:szCs w:val="21"/>
          <w:highlight w:val="none"/>
          <w:lang w:val="en-US" w:eastAsia="zh-CN"/>
        </w:rPr>
        <w:t>预制</w:t>
      </w:r>
      <w:r>
        <w:rPr>
          <w:rFonts w:hint="eastAsia" w:ascii="宋体" w:hAnsi="宋体"/>
          <w:szCs w:val="21"/>
          <w:highlight w:val="none"/>
          <w:lang w:eastAsia="zh-CN"/>
        </w:rPr>
        <w:t>桩植入时允许有少量水泥土或固化土、</w:t>
      </w:r>
      <w:r>
        <w:rPr>
          <w:rFonts w:hint="eastAsia" w:ascii="宋体" w:hAnsi="宋体"/>
          <w:szCs w:val="21"/>
          <w:highlight w:val="none"/>
          <w:lang w:val="en-US" w:eastAsia="zh-CN"/>
        </w:rPr>
        <w:t>水泥砂浆或混凝土</w:t>
      </w:r>
      <w:r>
        <w:rPr>
          <w:rFonts w:hint="eastAsia" w:ascii="宋体" w:hAnsi="宋体"/>
          <w:szCs w:val="21"/>
          <w:highlight w:val="none"/>
          <w:lang w:eastAsia="zh-CN"/>
        </w:rPr>
        <w:t>挤出，</w:t>
      </w:r>
      <w:r>
        <w:rPr>
          <w:rFonts w:hint="eastAsia" w:ascii="宋体" w:hAnsi="宋体"/>
          <w:szCs w:val="21"/>
          <w:highlight w:val="none"/>
          <w:lang w:val="en-US" w:eastAsia="zh-CN"/>
        </w:rPr>
        <w:t>同时</w:t>
      </w:r>
      <w:r>
        <w:rPr>
          <w:rFonts w:hint="eastAsia" w:ascii="宋体" w:hAnsi="宋体"/>
          <w:szCs w:val="21"/>
          <w:highlight w:val="none"/>
          <w:lang w:eastAsia="zh-CN"/>
        </w:rPr>
        <w:t>应采取监控预防措施，如根据监测的植桩情况采取措施防止首节</w:t>
      </w:r>
      <w:r>
        <w:rPr>
          <w:rFonts w:hint="eastAsia" w:ascii="宋体" w:hAnsi="宋体"/>
          <w:szCs w:val="21"/>
          <w:highlight w:val="none"/>
          <w:lang w:val="en-US" w:eastAsia="zh-CN"/>
        </w:rPr>
        <w:t>预制</w:t>
      </w:r>
      <w:r>
        <w:rPr>
          <w:rFonts w:hint="eastAsia" w:ascii="宋体" w:hAnsi="宋体"/>
          <w:szCs w:val="21"/>
          <w:highlight w:val="none"/>
          <w:lang w:eastAsia="zh-CN"/>
        </w:rPr>
        <w:t>桩掉入</w:t>
      </w:r>
      <w:r>
        <w:rPr>
          <w:rFonts w:hint="eastAsia" w:ascii="宋体" w:hAnsi="宋体"/>
          <w:szCs w:val="21"/>
          <w:highlight w:val="none"/>
          <w:lang w:val="en-US" w:eastAsia="zh-CN"/>
        </w:rPr>
        <w:t>预成孔内</w:t>
      </w:r>
      <w:r>
        <w:rPr>
          <w:rFonts w:hint="eastAsia" w:ascii="宋体" w:hAnsi="宋体"/>
          <w:szCs w:val="21"/>
          <w:highlight w:val="none"/>
          <w:lang w:eastAsia="zh-CN"/>
        </w:rPr>
        <w:t>。</w:t>
      </w:r>
    </w:p>
    <w:p w14:paraId="78C0C9A8">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5.1.4</w:t>
      </w:r>
      <w:r>
        <w:rPr>
          <w:rFonts w:hint="eastAsia" w:ascii="Times New Roman" w:hAnsi="Times New Roman" w:cs="Times New Roman" w:eastAsiaTheme="minorEastAsia"/>
          <w:szCs w:val="21"/>
          <w:highlight w:val="none"/>
        </w:rPr>
        <w:t xml:space="preserve"> </w:t>
      </w:r>
      <w:r>
        <w:rPr>
          <w:rFonts w:hint="eastAsia" w:ascii="宋体" w:hAnsi="宋体"/>
          <w:szCs w:val="21"/>
          <w:highlight w:val="none"/>
          <w:lang w:val="en-US" w:eastAsia="zh-CN"/>
        </w:rPr>
        <w:t>预制桩应在外芯（水泥土或固化土、水泥砂浆或混泥土）初凝前植入，当采取可靠措施延长外芯初凝时间时，预制桩植入时间可以适当延长</w:t>
      </w:r>
      <w:r>
        <w:rPr>
          <w:rFonts w:hint="eastAsia" w:ascii="宋体" w:hAnsi="宋体"/>
          <w:szCs w:val="21"/>
          <w:highlight w:val="none"/>
          <w:lang w:eastAsia="zh-CN"/>
        </w:rPr>
        <w:t>。</w:t>
      </w:r>
    </w:p>
    <w:p w14:paraId="204DD79C">
      <w:pPr>
        <w:pStyle w:val="3"/>
        <w:spacing w:before="312" w:after="312"/>
        <w:rPr>
          <w:rFonts w:hint="eastAsia" w:ascii="Times New Roman" w:hAnsi="Times New Roman" w:cs="Times New Roman"/>
          <w:highlight w:val="none"/>
        </w:rPr>
      </w:pPr>
      <w:bookmarkStart w:id="301" w:name="_Toc32741"/>
      <w:bookmarkStart w:id="302" w:name="_Toc31655"/>
      <w:bookmarkStart w:id="303" w:name="_Toc21945"/>
      <w:bookmarkStart w:id="304" w:name="_Toc9733"/>
      <w:bookmarkStart w:id="305" w:name="_Toc7900"/>
      <w:bookmarkStart w:id="306" w:name="_Toc26656"/>
      <w:bookmarkStart w:id="307" w:name="_Toc29346"/>
      <w:bookmarkStart w:id="308" w:name="_Toc31595"/>
      <w:bookmarkStart w:id="309" w:name="_5.2 施工准备_1"/>
      <w:r>
        <w:rPr>
          <w:rFonts w:hint="eastAsia" w:ascii="Times New Roman" w:hAnsi="Times New Roman" w:cs="Times New Roman"/>
          <w:highlight w:val="none"/>
        </w:rPr>
        <w:t xml:space="preserve">5.2 </w:t>
      </w:r>
      <w:r>
        <w:rPr>
          <w:rFonts w:hint="eastAsia" w:ascii="Times New Roman" w:hAnsi="Times New Roman" w:cs="Times New Roman"/>
          <w:highlight w:val="none"/>
          <w:lang w:val="en-US" w:eastAsia="zh-CN"/>
        </w:rPr>
        <w:t>施工准备</w:t>
      </w:r>
      <w:bookmarkEnd w:id="301"/>
      <w:bookmarkEnd w:id="302"/>
      <w:bookmarkEnd w:id="303"/>
      <w:bookmarkEnd w:id="304"/>
      <w:bookmarkEnd w:id="305"/>
      <w:bookmarkEnd w:id="306"/>
      <w:bookmarkEnd w:id="307"/>
      <w:bookmarkEnd w:id="308"/>
    </w:p>
    <w:bookmarkEnd w:id="309"/>
    <w:p w14:paraId="33E9ACAD">
      <w:pPr>
        <w:spacing w:line="312" w:lineRule="exact"/>
        <w:rPr>
          <w:rFonts w:hint="eastAsia" w:ascii="宋体" w:hAnsi="宋体"/>
          <w:szCs w:val="21"/>
          <w:highlight w:val="none"/>
        </w:rPr>
      </w:pPr>
      <w:r>
        <w:rPr>
          <w:rFonts w:hint="eastAsia" w:ascii="Times New Roman" w:hAnsi="Times New Roman" w:cs="Times New Roman" w:eastAsiaTheme="minorEastAsia"/>
          <w:b/>
          <w:bCs/>
          <w:szCs w:val="21"/>
          <w:highlight w:val="none"/>
          <w:lang w:val="en-US" w:eastAsia="zh-CN"/>
        </w:rPr>
        <w:t>5.2.1</w:t>
      </w:r>
      <w:r>
        <w:rPr>
          <w:rFonts w:hint="eastAsia" w:ascii="Times New Roman" w:hAnsi="Times New Roman" w:cs="Times New Roman" w:eastAsiaTheme="minorEastAsia"/>
          <w:szCs w:val="21"/>
          <w:highlight w:val="none"/>
        </w:rPr>
        <w:t xml:space="preserve"> </w:t>
      </w:r>
      <w:r>
        <w:rPr>
          <w:rFonts w:hint="eastAsia" w:ascii="宋体" w:hAnsi="宋体"/>
          <w:szCs w:val="21"/>
          <w:highlight w:val="none"/>
          <w:lang w:eastAsia="zh-CN"/>
        </w:rPr>
        <w:t>施工前应做好相关准备，编写施工组织设计或专项施工方案，分析工程重点难点，现场施工平面布置，做好材料计划、机械设备和人员准备，理清施工工序，规划施工顺序和线路，建构质量和安全的管理架构，制定确保安全、质量、工期的措施</w:t>
      </w:r>
      <w:r>
        <w:rPr>
          <w:rFonts w:hint="eastAsia" w:ascii="宋体" w:hAnsi="宋体"/>
          <w:szCs w:val="21"/>
          <w:highlight w:val="none"/>
        </w:rPr>
        <w:t>。</w:t>
      </w:r>
    </w:p>
    <w:p w14:paraId="1243312D">
      <w:pPr>
        <w:spacing w:line="312" w:lineRule="exact"/>
        <w:rPr>
          <w:rFonts w:hint="eastAsia" w:ascii="宋体" w:hAnsi="宋体"/>
          <w:szCs w:val="21"/>
          <w:highlight w:val="none"/>
        </w:rPr>
      </w:pPr>
      <w:r>
        <w:rPr>
          <w:rFonts w:hint="eastAsia" w:ascii="Times New Roman" w:hAnsi="Times New Roman" w:cs="Times New Roman" w:eastAsiaTheme="minorEastAsia"/>
          <w:b/>
          <w:bCs/>
          <w:szCs w:val="21"/>
          <w:highlight w:val="none"/>
          <w:lang w:val="en-US" w:eastAsia="zh-CN"/>
        </w:rPr>
        <w:t>5.2.2</w:t>
      </w:r>
      <w:r>
        <w:rPr>
          <w:rFonts w:hint="eastAsia" w:ascii="Times New Roman" w:hAnsi="Times New Roman" w:cs="Times New Roman" w:eastAsiaTheme="minorEastAsia"/>
          <w:szCs w:val="21"/>
          <w:highlight w:val="none"/>
        </w:rPr>
        <w:t xml:space="preserve"> </w:t>
      </w:r>
      <w:r>
        <w:rPr>
          <w:rFonts w:hint="eastAsia" w:ascii="宋体" w:hAnsi="宋体"/>
          <w:szCs w:val="21"/>
          <w:highlight w:val="none"/>
          <w:lang w:eastAsia="zh-CN"/>
        </w:rPr>
        <w:t>为保证</w:t>
      </w:r>
      <w:r>
        <w:rPr>
          <w:rFonts w:hint="eastAsia" w:ascii="宋体" w:hAnsi="宋体"/>
          <w:szCs w:val="21"/>
          <w:highlight w:val="none"/>
          <w:lang w:val="en-US" w:eastAsia="zh-CN"/>
        </w:rPr>
        <w:t>预制桩植桩</w:t>
      </w:r>
      <w:r>
        <w:rPr>
          <w:rFonts w:hint="eastAsia" w:ascii="宋体" w:hAnsi="宋体"/>
          <w:szCs w:val="21"/>
          <w:highlight w:val="none"/>
          <w:lang w:eastAsia="zh-CN"/>
        </w:rPr>
        <w:t>正常施工，施工用的供水、供电、道路、排水、临时房屋等临时设施，必须在开工前准备就绪。建筑场地应平整、密实，无地下和空中障碍物，地基承载力应满足施工机械接地压力的要求</w:t>
      </w:r>
      <w:r>
        <w:rPr>
          <w:rFonts w:hint="eastAsia" w:ascii="宋体" w:hAnsi="宋体"/>
          <w:szCs w:val="21"/>
          <w:highlight w:val="none"/>
        </w:rPr>
        <w:t>。</w:t>
      </w:r>
    </w:p>
    <w:p w14:paraId="0286DDA2">
      <w:pPr>
        <w:spacing w:line="312" w:lineRule="exact"/>
        <w:rPr>
          <w:rFonts w:hint="eastAsia" w:ascii="宋体" w:hAnsi="宋体"/>
          <w:szCs w:val="21"/>
          <w:highlight w:val="none"/>
        </w:rPr>
      </w:pPr>
      <w:r>
        <w:rPr>
          <w:rFonts w:hint="eastAsia" w:ascii="Times New Roman" w:hAnsi="Times New Roman" w:cs="Times New Roman" w:eastAsiaTheme="minorEastAsia"/>
          <w:b/>
          <w:bCs/>
          <w:szCs w:val="21"/>
          <w:highlight w:val="none"/>
          <w:lang w:val="en-US" w:eastAsia="zh-CN"/>
        </w:rPr>
        <w:t>5.2.4</w:t>
      </w:r>
      <w:r>
        <w:rPr>
          <w:rFonts w:hint="eastAsia" w:ascii="Times New Roman" w:hAnsi="Times New Roman" w:cs="Times New Roman" w:eastAsiaTheme="minorEastAsia"/>
          <w:szCs w:val="21"/>
          <w:highlight w:val="none"/>
        </w:rPr>
        <w:t xml:space="preserve"> </w:t>
      </w:r>
      <w:r>
        <w:rPr>
          <w:rFonts w:hint="eastAsia" w:ascii="宋体" w:hAnsi="宋体"/>
          <w:szCs w:val="21"/>
          <w:highlight w:val="none"/>
          <w:lang w:eastAsia="zh-CN"/>
        </w:rPr>
        <w:t>基桩轴线的控制点和水准点应设置在位置稳定、易于长期保存的地方。当有工作基点时，应定期将其与基准点进行联测</w:t>
      </w:r>
      <w:r>
        <w:rPr>
          <w:rFonts w:hint="eastAsia" w:ascii="宋体" w:hAnsi="宋体"/>
          <w:szCs w:val="21"/>
          <w:highlight w:val="none"/>
        </w:rPr>
        <w:t>。</w:t>
      </w:r>
    </w:p>
    <w:p w14:paraId="5DA4CA47">
      <w:pPr>
        <w:spacing w:line="312" w:lineRule="exact"/>
        <w:rPr>
          <w:rFonts w:hint="eastAsia" w:ascii="宋体" w:hAnsi="宋体"/>
          <w:szCs w:val="21"/>
          <w:highlight w:val="none"/>
        </w:rPr>
      </w:pPr>
      <w:r>
        <w:rPr>
          <w:rFonts w:hint="eastAsia" w:ascii="Times New Roman" w:hAnsi="Times New Roman" w:cs="Times New Roman" w:eastAsiaTheme="minorEastAsia"/>
          <w:b/>
          <w:bCs/>
          <w:szCs w:val="21"/>
          <w:highlight w:val="none"/>
          <w:lang w:val="en-US" w:eastAsia="zh-CN"/>
        </w:rPr>
        <w:t>5.2.5</w:t>
      </w:r>
      <w:r>
        <w:rPr>
          <w:rFonts w:hint="eastAsia" w:ascii="宋体" w:hAnsi="宋体"/>
          <w:szCs w:val="21"/>
          <w:highlight w:val="none"/>
        </w:rPr>
        <w:t xml:space="preserve"> </w:t>
      </w:r>
      <w:r>
        <w:rPr>
          <w:rFonts w:hint="eastAsia" w:ascii="宋体" w:hAnsi="宋体"/>
          <w:szCs w:val="21"/>
          <w:highlight w:val="none"/>
          <w:lang w:eastAsia="zh-CN"/>
        </w:rPr>
        <w:t>在施工前通过对施工机械及其配套设备的试运行及对流量、浆液压力、水压、气压、钻杆提升速度与钻杆旋转速度等施工参数的标定，</w:t>
      </w:r>
      <w:r>
        <w:rPr>
          <w:rFonts w:hint="eastAsia" w:ascii="宋体" w:hAnsi="宋体"/>
          <w:szCs w:val="21"/>
          <w:highlight w:val="none"/>
          <w:lang w:val="en-US" w:eastAsia="zh-CN"/>
        </w:rPr>
        <w:t>确保</w:t>
      </w:r>
      <w:r>
        <w:rPr>
          <w:rFonts w:hint="eastAsia" w:ascii="宋体" w:hAnsi="宋体"/>
          <w:szCs w:val="21"/>
          <w:highlight w:val="none"/>
          <w:lang w:eastAsia="zh-CN"/>
        </w:rPr>
        <w:t>现场所有设备能够安全正常运转、施工参数能够满足要求</w:t>
      </w:r>
      <w:r>
        <w:rPr>
          <w:rFonts w:hint="eastAsia" w:ascii="宋体" w:hAnsi="宋体"/>
          <w:szCs w:val="21"/>
          <w:highlight w:val="none"/>
        </w:rPr>
        <w:t>。</w:t>
      </w:r>
    </w:p>
    <w:p w14:paraId="7B65D8BE">
      <w:pPr>
        <w:pStyle w:val="3"/>
        <w:spacing w:before="312" w:after="312"/>
        <w:rPr>
          <w:rFonts w:hint="eastAsia" w:ascii="Times New Roman" w:hAnsi="Times New Roman" w:cs="Times New Roman"/>
          <w:highlight w:val="none"/>
        </w:rPr>
      </w:pPr>
      <w:bookmarkStart w:id="310" w:name="_Toc21357"/>
      <w:bookmarkStart w:id="311" w:name="_Toc4817"/>
      <w:bookmarkStart w:id="312" w:name="_Toc5589"/>
      <w:bookmarkStart w:id="313" w:name="_Toc235"/>
      <w:bookmarkStart w:id="314" w:name="_Toc22208"/>
      <w:bookmarkStart w:id="315" w:name="_Toc27076"/>
      <w:bookmarkStart w:id="316" w:name="_Toc27030"/>
      <w:bookmarkStart w:id="317" w:name="_Toc20482"/>
      <w:bookmarkStart w:id="318" w:name="_5.3 放样与定位_1"/>
      <w:r>
        <w:rPr>
          <w:rFonts w:hint="eastAsia" w:ascii="Times New Roman" w:hAnsi="Times New Roman" w:cs="Times New Roman"/>
          <w:highlight w:val="none"/>
        </w:rPr>
        <w:t xml:space="preserve">5.3 </w:t>
      </w:r>
      <w:bookmarkEnd w:id="310"/>
      <w:bookmarkEnd w:id="311"/>
      <w:bookmarkEnd w:id="312"/>
      <w:bookmarkEnd w:id="313"/>
      <w:bookmarkEnd w:id="314"/>
      <w:bookmarkEnd w:id="315"/>
      <w:r>
        <w:rPr>
          <w:rFonts w:hint="eastAsia" w:ascii="Times New Roman" w:hAnsi="Times New Roman" w:cs="Times New Roman"/>
          <w:highlight w:val="none"/>
          <w:lang w:val="en-US" w:eastAsia="zh-CN"/>
        </w:rPr>
        <w:t>放样与定位</w:t>
      </w:r>
      <w:bookmarkEnd w:id="316"/>
      <w:bookmarkEnd w:id="317"/>
      <w:r>
        <w:rPr>
          <w:rFonts w:hint="eastAsia" w:ascii="Times New Roman" w:hAnsi="Times New Roman" w:cs="Times New Roman"/>
          <w:highlight w:val="none"/>
        </w:rPr>
        <w:t xml:space="preserve"> </w:t>
      </w:r>
    </w:p>
    <w:bookmarkEnd w:id="318"/>
    <w:p w14:paraId="2EE8B86E">
      <w:pPr>
        <w:spacing w:line="340" w:lineRule="exact"/>
        <w:rPr>
          <w:rFonts w:hint="eastAsia" w:ascii="宋体" w:hAnsi="宋体"/>
          <w:szCs w:val="21"/>
          <w:highlight w:val="none"/>
        </w:rPr>
      </w:pPr>
      <w:r>
        <w:rPr>
          <w:rFonts w:hint="eastAsia" w:ascii="Times New Roman" w:hAnsi="Times New Roman" w:cs="Times New Roman" w:eastAsiaTheme="minorEastAsia"/>
          <w:b/>
          <w:bCs/>
          <w:szCs w:val="21"/>
          <w:highlight w:val="none"/>
          <w:lang w:val="en-US" w:eastAsia="zh-CN"/>
        </w:rPr>
        <w:t>5.3.1、5.3.2</w:t>
      </w:r>
      <w:r>
        <w:rPr>
          <w:rFonts w:hint="eastAsia" w:ascii="黑体" w:hAnsi="黑体" w:eastAsia="黑体"/>
          <w:bCs/>
          <w:szCs w:val="21"/>
          <w:highlight w:val="none"/>
        </w:rPr>
        <w:t xml:space="preserve"> </w:t>
      </w:r>
      <w:r>
        <w:rPr>
          <w:rFonts w:hint="eastAsia" w:ascii="宋体" w:hAnsi="宋体"/>
          <w:szCs w:val="21"/>
          <w:highlight w:val="none"/>
          <w:lang w:eastAsia="zh-CN"/>
        </w:rPr>
        <w:t>确定桩位是</w:t>
      </w:r>
      <w:r>
        <w:rPr>
          <w:rFonts w:hint="eastAsia" w:ascii="宋体" w:hAnsi="宋体"/>
          <w:szCs w:val="21"/>
          <w:highlight w:val="none"/>
          <w:lang w:val="en-US" w:eastAsia="zh-CN"/>
        </w:rPr>
        <w:t>预制桩植桩</w:t>
      </w:r>
      <w:r>
        <w:rPr>
          <w:rFonts w:hint="eastAsia" w:ascii="宋体" w:hAnsi="宋体"/>
          <w:szCs w:val="21"/>
          <w:highlight w:val="none"/>
          <w:lang w:eastAsia="zh-CN"/>
        </w:rPr>
        <w:t>施工的重要工序，必须采取严格的测量、检查、交接和验收工序，确保施工桩位精确。</w:t>
      </w:r>
    </w:p>
    <w:p w14:paraId="7D8FF803">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szCs w:val="21"/>
          <w:highlight w:val="none"/>
        </w:rPr>
      </w:pPr>
      <w:r>
        <w:rPr>
          <w:rFonts w:hint="eastAsia" w:ascii="宋体" w:hAnsi="宋体"/>
          <w:szCs w:val="21"/>
          <w:highlight w:val="none"/>
        </w:rPr>
        <w:t>钻孔垂直度对</w:t>
      </w:r>
      <w:r>
        <w:rPr>
          <w:rFonts w:hint="eastAsia" w:ascii="宋体" w:hAnsi="宋体"/>
          <w:szCs w:val="21"/>
          <w:highlight w:val="none"/>
          <w:lang w:val="en-US" w:eastAsia="zh-CN"/>
        </w:rPr>
        <w:t>预制</w:t>
      </w:r>
      <w:r>
        <w:rPr>
          <w:rFonts w:hint="eastAsia" w:ascii="宋体" w:hAnsi="宋体"/>
          <w:szCs w:val="21"/>
          <w:highlight w:val="none"/>
        </w:rPr>
        <w:t>桩能否正常植人到孔底至关重要，要严格控制钻孔垂直度。</w:t>
      </w:r>
    </w:p>
    <w:p w14:paraId="4E74038B">
      <w:pPr>
        <w:pStyle w:val="3"/>
        <w:spacing w:before="312" w:after="312"/>
        <w:rPr>
          <w:rFonts w:hint="default" w:ascii="Times New Roman" w:hAnsi="Times New Roman" w:cs="Times New Roman"/>
          <w:highlight w:val="none"/>
          <w:lang w:val="en-US"/>
        </w:rPr>
      </w:pPr>
      <w:bookmarkStart w:id="319" w:name="_Toc12643"/>
      <w:bookmarkStart w:id="320" w:name="_Toc32267"/>
      <w:bookmarkStart w:id="321" w:name="_5.4 搅拌工艺_1"/>
      <w:bookmarkStart w:id="322" w:name="_5.4 搅拌成孔"/>
      <w:r>
        <w:rPr>
          <w:rFonts w:hint="eastAsia" w:ascii="Times New Roman" w:hAnsi="Times New Roman" w:cs="Times New Roman"/>
          <w:highlight w:val="none"/>
        </w:rPr>
        <w:t>5.</w:t>
      </w:r>
      <w:r>
        <w:rPr>
          <w:rFonts w:hint="eastAsia" w:ascii="Times New Roman" w:hAnsi="Times New Roman" w:cs="Times New Roman"/>
          <w:highlight w:val="none"/>
          <w:lang w:val="en-US" w:eastAsia="zh-CN"/>
        </w:rPr>
        <w:t>4</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搅拌工艺</w:t>
      </w:r>
      <w:bookmarkEnd w:id="319"/>
      <w:bookmarkEnd w:id="320"/>
    </w:p>
    <w:bookmarkEnd w:id="321"/>
    <w:bookmarkEnd w:id="322"/>
    <w:p w14:paraId="112BACA9">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5.4.1~5.4.4</w:t>
      </w:r>
      <w:r>
        <w:rPr>
          <w:rFonts w:hint="eastAsia" w:ascii="黑体" w:hAnsi="黑体" w:eastAsia="黑体"/>
          <w:bCs/>
          <w:szCs w:val="21"/>
          <w:highlight w:val="none"/>
          <w:lang w:val="en-US" w:eastAsia="zh-CN"/>
        </w:rPr>
        <w:t xml:space="preserve"> </w:t>
      </w:r>
      <w:r>
        <w:rPr>
          <w:rFonts w:hint="eastAsia" w:ascii="宋体" w:hAnsi="宋体"/>
          <w:szCs w:val="21"/>
          <w:highlight w:val="none"/>
          <w:lang w:eastAsia="zh-CN"/>
        </w:rPr>
        <w:t>水泥浆</w:t>
      </w:r>
      <w:r>
        <w:rPr>
          <w:rFonts w:hint="eastAsia" w:ascii="宋体" w:hAnsi="宋体"/>
          <w:szCs w:val="21"/>
          <w:highlight w:val="none"/>
          <w:lang w:val="en-US" w:eastAsia="zh-CN"/>
        </w:rPr>
        <w:t>或流态固化土</w:t>
      </w:r>
      <w:r>
        <w:rPr>
          <w:rFonts w:hint="eastAsia" w:ascii="宋体" w:hAnsi="宋体"/>
          <w:szCs w:val="21"/>
          <w:highlight w:val="none"/>
          <w:lang w:eastAsia="zh-CN"/>
        </w:rPr>
        <w:t>制备应优先采用全自动制浆设备，提高施工效率和控制精度，减少环境污染和工人劳动强度。施工过程中应定期量测水泥浆密度，检查水灰比是否满足要求、计量仪器是否正常工作。</w:t>
      </w:r>
    </w:p>
    <w:p w14:paraId="5A640325">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水泥土或固化土桩施工参数如浆液压力、气压、水压及流量、喷嘴数量及直径、搅拌翅直径、钻杆下沉与提升速度、钻杆旋转速度等由成桩工艺性试验确定，在施工中应严格控制，不得随意更改。在确保水泥土或固化土桩桩顶标高、有效桩长、桩径、垂直度、水泥土或固化土强度达到设计要求的前提下，施工单位可根据本工程的施工经验、土质条件等对施工参数作必要的调整。</w:t>
      </w:r>
    </w:p>
    <w:p w14:paraId="12F61FB1">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搅拌次数是保证水泥土或固化土质量均匀的重要施工措施，根据工程经验，桩身深度范围内每米的搅拌次数大于</w:t>
      </w:r>
      <w:r>
        <w:rPr>
          <w:rFonts w:hint="default" w:ascii="Times New Roman" w:hAnsi="Times New Roman" w:cs="Times New Roman"/>
          <w:szCs w:val="21"/>
          <w:highlight w:val="none"/>
          <w:lang w:eastAsia="zh-CN"/>
        </w:rPr>
        <w:t>300</w:t>
      </w:r>
      <w:r>
        <w:rPr>
          <w:rFonts w:hint="eastAsia" w:ascii="宋体" w:hAnsi="宋体"/>
          <w:szCs w:val="21"/>
          <w:highlight w:val="none"/>
          <w:lang w:eastAsia="zh-CN"/>
        </w:rPr>
        <w:t>次时，桩身水泥土或固化土质量能够满足设计要求。</w:t>
      </w:r>
    </w:p>
    <w:p w14:paraId="0389A854">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需要提高强度或增加喷搅次数而采取复搅复喷措施的部位一般指桩顶部位、芯桩底部、塑性指数较高的黏土层以及因故停浆或喷浆不连续的部位等。复喷复搅段长度宜根据作用在桩顶及芯桩底部荷载大小、土质条件、水泥用量、水灰比、浆液流量、提升速度、施工异常情况等因素综合确定。</w:t>
      </w:r>
    </w:p>
    <w:p w14:paraId="6653810B">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水泥土或固化土桩施工过程中，应在桩顶设计标高以下采取尚未凝固的水泥土或固化土浆液制作水泥土或固化土试块(一般称为“软取芯法”),并分别进行同条件养护和标准养护</w:t>
      </w:r>
      <w:r>
        <w:rPr>
          <w:rFonts w:hint="default" w:ascii="Times New Roman" w:hAnsi="Times New Roman" w:cs="Times New Roman"/>
          <w:szCs w:val="21"/>
          <w:highlight w:val="none"/>
          <w:lang w:eastAsia="zh-CN"/>
        </w:rPr>
        <w:t>28d</w:t>
      </w:r>
      <w:r>
        <w:rPr>
          <w:rFonts w:hint="eastAsia" w:ascii="宋体" w:hAnsi="宋体"/>
          <w:szCs w:val="21"/>
          <w:highlight w:val="none"/>
          <w:lang w:eastAsia="zh-CN"/>
        </w:rPr>
        <w:t>。可将试块埋置于桩头附近的地基土中进行同条件养护。</w:t>
      </w:r>
    </w:p>
    <w:p w14:paraId="1EF88274">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软取芯可按</w:t>
      </w:r>
      <w:r>
        <w:rPr>
          <w:rFonts w:hint="eastAsia" w:ascii="宋体" w:hAnsi="宋体"/>
          <w:bCs/>
          <w:szCs w:val="21"/>
          <w:highlight w:val="none"/>
          <w:lang w:eastAsia="zh-CN"/>
        </w:rPr>
        <w:t>现行</w:t>
      </w:r>
      <w:r>
        <w:rPr>
          <w:rFonts w:hint="eastAsia" w:ascii="宋体" w:hAnsi="宋体"/>
          <w:szCs w:val="21"/>
          <w:highlight w:val="none"/>
          <w:lang w:eastAsia="zh-CN"/>
        </w:rPr>
        <w:t>行业标准《型钢水泥土搅拌墙技术规程》</w:t>
      </w:r>
      <w:r>
        <w:rPr>
          <w:rFonts w:hint="default" w:ascii="Times New Roman" w:hAnsi="Times New Roman" w:cs="Times New Roman"/>
          <w:szCs w:val="21"/>
          <w:highlight w:val="none"/>
          <w:lang w:eastAsia="zh-CN"/>
        </w:rPr>
        <w:t>JGJ/T 199</w:t>
      </w:r>
      <w:r>
        <w:rPr>
          <w:rFonts w:hint="eastAsia" w:ascii="宋体" w:hAnsi="宋体"/>
          <w:szCs w:val="21"/>
          <w:highlight w:val="none"/>
          <w:lang w:eastAsia="zh-CN"/>
        </w:rPr>
        <w:t>的有关规定执行。</w:t>
      </w:r>
    </w:p>
    <w:p w14:paraId="3F0AD054">
      <w:pPr>
        <w:pStyle w:val="3"/>
        <w:spacing w:before="312" w:after="312"/>
        <w:rPr>
          <w:rFonts w:hint="default" w:ascii="Times New Roman" w:hAnsi="Times New Roman" w:cs="Times New Roman"/>
          <w:highlight w:val="none"/>
          <w:lang w:val="en-US" w:eastAsia="zh-CN"/>
        </w:rPr>
      </w:pPr>
      <w:bookmarkStart w:id="323" w:name="_Toc31873"/>
      <w:bookmarkStart w:id="324" w:name="_Toc28835"/>
      <w:bookmarkStart w:id="325" w:name="_5.5 高压旋喷工艺_1"/>
      <w:bookmarkStart w:id="326" w:name="_5.5 高压旋喷成孔"/>
      <w:r>
        <w:rPr>
          <w:rFonts w:hint="eastAsia" w:ascii="Times New Roman" w:hAnsi="Times New Roman" w:cs="Times New Roman"/>
          <w:highlight w:val="none"/>
        </w:rPr>
        <w:t>5.</w:t>
      </w:r>
      <w:r>
        <w:rPr>
          <w:rFonts w:hint="eastAsia" w:ascii="Times New Roman" w:hAnsi="Times New Roman" w:cs="Times New Roman"/>
          <w:highlight w:val="none"/>
          <w:lang w:val="en-US" w:eastAsia="zh-CN"/>
        </w:rPr>
        <w:t>5</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高压旋喷</w:t>
      </w:r>
      <w:bookmarkEnd w:id="323"/>
      <w:r>
        <w:rPr>
          <w:rFonts w:hint="eastAsia" w:ascii="Times New Roman" w:hAnsi="Times New Roman" w:cs="Times New Roman"/>
          <w:highlight w:val="none"/>
          <w:lang w:val="en-US" w:eastAsia="zh-CN"/>
        </w:rPr>
        <w:t>工艺</w:t>
      </w:r>
      <w:bookmarkEnd w:id="324"/>
    </w:p>
    <w:bookmarkEnd w:id="325"/>
    <w:bookmarkEnd w:id="326"/>
    <w:p w14:paraId="5B74B4D4">
      <w:pPr>
        <w:keepNext w:val="0"/>
        <w:keepLines w:val="0"/>
        <w:pageBreakBefore w:val="0"/>
        <w:widowControl/>
        <w:kinsoku/>
        <w:wordWrap/>
        <w:overflowPunct/>
        <w:topLinePunct w:val="0"/>
        <w:autoSpaceDE/>
        <w:autoSpaceDN/>
        <w:bidi w:val="0"/>
        <w:adjustRightInd/>
        <w:snapToGrid/>
        <w:spacing w:line="340" w:lineRule="exact"/>
        <w:ind w:firstLine="0" w:firstLineChars="0"/>
        <w:jc w:val="left"/>
        <w:textAlignment w:val="auto"/>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 xml:space="preserve">5.5.2 </w:t>
      </w:r>
      <w:r>
        <w:rPr>
          <w:rFonts w:hint="eastAsia" w:ascii="宋体" w:hAnsi="宋体"/>
          <w:szCs w:val="21"/>
          <w:highlight w:val="none"/>
          <w:lang w:val="en-US" w:eastAsia="zh-CN"/>
        </w:rPr>
        <w:t>高压</w:t>
      </w:r>
      <w:r>
        <w:rPr>
          <w:rFonts w:hint="eastAsia" w:ascii="宋体" w:hAnsi="宋体"/>
          <w:szCs w:val="21"/>
          <w:highlight w:val="none"/>
          <w:lang w:eastAsia="zh-CN"/>
        </w:rPr>
        <w:t>旋喷桩的施工参数应根据土质条件、加固要求通过试验或根据工程经验确定，加固土体每立方的水泥</w:t>
      </w:r>
      <w:r>
        <w:rPr>
          <w:rFonts w:hint="eastAsia" w:ascii="宋体" w:hAnsi="宋体"/>
          <w:szCs w:val="21"/>
          <w:highlight w:val="none"/>
          <w:lang w:val="en-US" w:eastAsia="zh-CN"/>
        </w:rPr>
        <w:t>或固化剂</w:t>
      </w:r>
      <w:r>
        <w:rPr>
          <w:rFonts w:hint="eastAsia" w:ascii="宋体" w:hAnsi="宋体"/>
          <w:szCs w:val="21"/>
          <w:highlight w:val="none"/>
          <w:lang w:eastAsia="zh-CN"/>
        </w:rPr>
        <w:t>掺入量不宜少于</w:t>
      </w:r>
      <w:r>
        <w:rPr>
          <w:rFonts w:hint="default" w:ascii="Times New Roman" w:hAnsi="Times New Roman" w:cs="Times New Roman"/>
          <w:szCs w:val="21"/>
          <w:highlight w:val="none"/>
          <w:lang w:eastAsia="zh-CN"/>
        </w:rPr>
        <w:t>300kg</w:t>
      </w:r>
      <w:r>
        <w:rPr>
          <w:rFonts w:hint="eastAsia" w:ascii="宋体" w:hAnsi="宋体"/>
          <w:szCs w:val="21"/>
          <w:highlight w:val="none"/>
          <w:lang w:eastAsia="zh-CN"/>
        </w:rPr>
        <w:t>。旋喷注浆的压力大，处理地基的效果好。根据国内实际工程中应用实例，单管法、双管法及三管法的高压水泥浆液流或高压水射流的压力应大于</w:t>
      </w:r>
      <w:r>
        <w:rPr>
          <w:rFonts w:hint="default" w:ascii="Times New Roman" w:hAnsi="Times New Roman" w:cs="Times New Roman"/>
          <w:szCs w:val="21"/>
          <w:highlight w:val="none"/>
          <w:lang w:eastAsia="zh-CN"/>
        </w:rPr>
        <w:t>20MPa</w:t>
      </w:r>
      <w:r>
        <w:rPr>
          <w:rFonts w:hint="eastAsia" w:ascii="宋体" w:hAnsi="宋体"/>
          <w:szCs w:val="21"/>
          <w:highlight w:val="none"/>
          <w:lang w:eastAsia="zh-CN"/>
        </w:rPr>
        <w:t>，流量大于</w:t>
      </w:r>
      <w:r>
        <w:rPr>
          <w:rFonts w:hint="default" w:ascii="Times New Roman" w:hAnsi="Times New Roman" w:cs="Times New Roman"/>
          <w:szCs w:val="21"/>
          <w:highlight w:val="none"/>
          <w:lang w:eastAsia="zh-CN"/>
        </w:rPr>
        <w:t>30L/min</w:t>
      </w:r>
      <w:r>
        <w:rPr>
          <w:rFonts w:hint="eastAsia" w:ascii="宋体" w:hAnsi="宋体"/>
          <w:szCs w:val="21"/>
          <w:highlight w:val="none"/>
          <w:lang w:eastAsia="zh-CN"/>
        </w:rPr>
        <w:t>，气流的压力以空气压缩机的最大压力为限，通常在</w:t>
      </w:r>
      <w:r>
        <w:rPr>
          <w:rFonts w:hint="eastAsia" w:ascii="Times New Roman" w:hAnsi="Times New Roman" w:cs="Times New Roman" w:eastAsiaTheme="minorEastAsia"/>
          <w:szCs w:val="21"/>
          <w:highlight w:val="none"/>
          <w:lang w:eastAsia="zh-CN"/>
        </w:rPr>
        <w:t>0</w:t>
      </w:r>
      <w:r>
        <w:rPr>
          <w:rFonts w:hint="eastAsia" w:ascii="Times New Roman" w:hAnsi="Times New Roman" w:cs="Times New Roman" w:eastAsiaTheme="minorEastAsia"/>
          <w:szCs w:val="21"/>
          <w:highlight w:val="none"/>
          <w:lang w:val="en-US" w:eastAsia="zh-CN"/>
        </w:rPr>
        <w:t>.</w:t>
      </w:r>
      <w:r>
        <w:rPr>
          <w:rFonts w:hint="eastAsia" w:ascii="Times New Roman" w:hAnsi="Times New Roman" w:cs="Times New Roman" w:eastAsiaTheme="minorEastAsia"/>
          <w:szCs w:val="21"/>
          <w:highlight w:val="none"/>
          <w:lang w:eastAsia="zh-CN"/>
        </w:rPr>
        <w:t>7MPa</w:t>
      </w:r>
      <w:r>
        <w:rPr>
          <w:rFonts w:hint="eastAsia" w:ascii="宋体" w:hAnsi="宋体"/>
          <w:szCs w:val="21"/>
          <w:highlight w:val="none"/>
          <w:lang w:eastAsia="zh-CN"/>
        </w:rPr>
        <w:t>左右，提升速度可取</w:t>
      </w:r>
      <w:r>
        <w:rPr>
          <w:rFonts w:hint="default" w:ascii="Times New Roman" w:hAnsi="Times New Roman" w:cs="Times New Roman" w:eastAsiaTheme="minorEastAsia"/>
          <w:szCs w:val="21"/>
          <w:highlight w:val="none"/>
          <w:lang w:eastAsia="zh-CN"/>
        </w:rPr>
        <w:t>0</w:t>
      </w:r>
      <w:r>
        <w:rPr>
          <w:rFonts w:hint="default" w:ascii="Times New Roman" w:hAnsi="Times New Roman" w:cs="Times New Roman" w:eastAsiaTheme="minorEastAsia"/>
          <w:szCs w:val="21"/>
          <w:highlight w:val="none"/>
          <w:lang w:val="en-US" w:eastAsia="zh-CN"/>
        </w:rPr>
        <w:t>.</w:t>
      </w:r>
      <w:r>
        <w:rPr>
          <w:rFonts w:hint="default" w:ascii="Times New Roman" w:hAnsi="Times New Roman" w:cs="Times New Roman" w:eastAsiaTheme="minorEastAsia"/>
          <w:szCs w:val="21"/>
          <w:highlight w:val="none"/>
          <w:lang w:eastAsia="zh-CN"/>
        </w:rPr>
        <w:t>1m/min～0</w:t>
      </w:r>
      <w:r>
        <w:rPr>
          <w:rFonts w:hint="default" w:ascii="Times New Roman" w:hAnsi="Times New Roman" w:cs="Times New Roman" w:eastAsiaTheme="minorEastAsia"/>
          <w:szCs w:val="21"/>
          <w:highlight w:val="none"/>
          <w:lang w:val="en-US" w:eastAsia="zh-CN"/>
        </w:rPr>
        <w:t>.</w:t>
      </w:r>
      <w:r>
        <w:rPr>
          <w:rFonts w:hint="default" w:ascii="Times New Roman" w:hAnsi="Times New Roman" w:cs="Times New Roman" w:eastAsiaTheme="minorEastAsia"/>
          <w:szCs w:val="21"/>
          <w:highlight w:val="none"/>
          <w:lang w:eastAsia="zh-CN"/>
        </w:rPr>
        <w:t>2m/min</w:t>
      </w:r>
      <w:r>
        <w:rPr>
          <w:rFonts w:hint="eastAsia" w:ascii="宋体" w:hAnsi="宋体"/>
          <w:szCs w:val="21"/>
          <w:highlight w:val="none"/>
          <w:lang w:eastAsia="zh-CN"/>
        </w:rPr>
        <w:t>，旋转速度宜取</w:t>
      </w:r>
      <w:r>
        <w:rPr>
          <w:rFonts w:hint="eastAsia" w:ascii="Times New Roman" w:hAnsi="Times New Roman" w:cs="Times New Roman" w:eastAsiaTheme="minorEastAsia"/>
          <w:szCs w:val="21"/>
          <w:highlight w:val="none"/>
          <w:lang w:eastAsia="zh-CN"/>
        </w:rPr>
        <w:t>20r/min</w:t>
      </w:r>
      <w:r>
        <w:rPr>
          <w:rFonts w:hint="eastAsia" w:ascii="宋体" w:hAnsi="宋体"/>
          <w:szCs w:val="21"/>
          <w:highlight w:val="none"/>
          <w:lang w:eastAsia="zh-CN"/>
        </w:rPr>
        <w:t>。</w:t>
      </w:r>
    </w:p>
    <w:p w14:paraId="2D54E88A">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近年来旋喷注浆技术得到了很大的发展，利用超高压水泵（泵压大于</w:t>
      </w:r>
      <w:r>
        <w:rPr>
          <w:rFonts w:hint="eastAsia" w:ascii="Times New Roman" w:hAnsi="Times New Roman" w:cs="Times New Roman" w:eastAsiaTheme="minorEastAsia"/>
          <w:szCs w:val="21"/>
          <w:highlight w:val="none"/>
          <w:lang w:eastAsia="zh-CN"/>
        </w:rPr>
        <w:t>50MPa</w:t>
      </w:r>
      <w:r>
        <w:rPr>
          <w:rFonts w:hint="eastAsia" w:ascii="宋体" w:hAnsi="宋体"/>
          <w:szCs w:val="21"/>
          <w:highlight w:val="none"/>
          <w:lang w:eastAsia="zh-CN"/>
        </w:rPr>
        <w:t>）和超高压水泥浆泵（水泥浆压力大于</w:t>
      </w:r>
      <w:r>
        <w:rPr>
          <w:rFonts w:hint="eastAsia" w:ascii="Times New Roman" w:hAnsi="Times New Roman" w:cs="Times New Roman" w:eastAsiaTheme="minorEastAsia"/>
          <w:szCs w:val="21"/>
          <w:highlight w:val="none"/>
          <w:lang w:eastAsia="zh-CN"/>
        </w:rPr>
        <w:t>35MPa</w:t>
      </w:r>
      <w:r>
        <w:rPr>
          <w:rFonts w:hint="eastAsia" w:ascii="宋体" w:hAnsi="宋体"/>
          <w:szCs w:val="21"/>
          <w:highlight w:val="none"/>
          <w:lang w:eastAsia="zh-CN"/>
        </w:rPr>
        <w:t>），辅以低压空气，</w:t>
      </w:r>
      <w:r>
        <w:rPr>
          <w:rFonts w:hint="eastAsia" w:ascii="宋体" w:hAnsi="宋体"/>
          <w:bCs/>
          <w:szCs w:val="21"/>
          <w:highlight w:val="none"/>
          <w:lang w:eastAsia="zh-CN"/>
        </w:rPr>
        <w:t>大大</w:t>
      </w:r>
      <w:r>
        <w:rPr>
          <w:rFonts w:hint="eastAsia" w:ascii="宋体" w:hAnsi="宋体"/>
          <w:szCs w:val="21"/>
          <w:highlight w:val="none"/>
          <w:lang w:eastAsia="zh-CN"/>
        </w:rPr>
        <w:t>提高了旋喷桩的处理能力。在软土中的切割直径可超过</w:t>
      </w:r>
      <w:r>
        <w:rPr>
          <w:rFonts w:hint="eastAsia" w:ascii="Times New Roman" w:hAnsi="Times New Roman" w:cs="Times New Roman" w:eastAsiaTheme="minorEastAsia"/>
          <w:szCs w:val="21"/>
          <w:highlight w:val="none"/>
          <w:lang w:eastAsia="zh-CN"/>
        </w:rPr>
        <w:t>2</w:t>
      </w:r>
      <w:r>
        <w:rPr>
          <w:rFonts w:hint="eastAsia" w:ascii="Times New Roman" w:hAnsi="Times New Roman" w:cs="Times New Roman" w:eastAsiaTheme="minorEastAsia"/>
          <w:szCs w:val="21"/>
          <w:highlight w:val="none"/>
          <w:lang w:val="en-US" w:eastAsia="zh-CN"/>
        </w:rPr>
        <w:t>.</w:t>
      </w:r>
      <w:r>
        <w:rPr>
          <w:rFonts w:hint="eastAsia" w:ascii="Times New Roman" w:hAnsi="Times New Roman" w:cs="Times New Roman" w:eastAsiaTheme="minorEastAsia"/>
          <w:szCs w:val="21"/>
          <w:highlight w:val="none"/>
          <w:lang w:eastAsia="zh-CN"/>
        </w:rPr>
        <w:t>0m</w:t>
      </w:r>
      <w:r>
        <w:rPr>
          <w:rFonts w:hint="eastAsia" w:ascii="宋体" w:hAnsi="宋体"/>
          <w:szCs w:val="21"/>
          <w:highlight w:val="none"/>
          <w:lang w:eastAsia="zh-CN"/>
        </w:rPr>
        <w:t>，注浆体的强度可达</w:t>
      </w:r>
      <w:r>
        <w:rPr>
          <w:rFonts w:hint="eastAsia" w:ascii="Times New Roman" w:hAnsi="Times New Roman" w:cs="Times New Roman" w:eastAsiaTheme="minorEastAsia"/>
          <w:szCs w:val="21"/>
          <w:highlight w:val="none"/>
          <w:lang w:eastAsia="zh-CN"/>
        </w:rPr>
        <w:t>5</w:t>
      </w:r>
      <w:r>
        <w:rPr>
          <w:rFonts w:hint="eastAsia" w:ascii="Times New Roman" w:hAnsi="Times New Roman" w:cs="Times New Roman" w:eastAsiaTheme="minorEastAsia"/>
          <w:szCs w:val="21"/>
          <w:highlight w:val="none"/>
          <w:lang w:val="en-US" w:eastAsia="zh-CN"/>
        </w:rPr>
        <w:t>.</w:t>
      </w:r>
      <w:r>
        <w:rPr>
          <w:rFonts w:hint="eastAsia" w:ascii="Times New Roman" w:hAnsi="Times New Roman" w:cs="Times New Roman" w:eastAsiaTheme="minorEastAsia"/>
          <w:szCs w:val="21"/>
          <w:highlight w:val="none"/>
          <w:lang w:eastAsia="zh-CN"/>
        </w:rPr>
        <w:t>0MPa</w:t>
      </w:r>
      <w:r>
        <w:rPr>
          <w:rFonts w:hint="eastAsia" w:ascii="宋体" w:hAnsi="宋体"/>
          <w:szCs w:val="21"/>
          <w:highlight w:val="none"/>
          <w:lang w:eastAsia="zh-CN"/>
        </w:rPr>
        <w:t>，有效加固深度可达</w:t>
      </w:r>
      <w:r>
        <w:rPr>
          <w:rFonts w:hint="eastAsia" w:ascii="Times New Roman" w:hAnsi="Times New Roman" w:cs="Times New Roman" w:eastAsiaTheme="minorEastAsia"/>
          <w:szCs w:val="21"/>
          <w:highlight w:val="none"/>
          <w:lang w:eastAsia="zh-CN"/>
        </w:rPr>
        <w:t>60m</w:t>
      </w:r>
      <w:r>
        <w:rPr>
          <w:rFonts w:hint="eastAsia" w:ascii="宋体" w:hAnsi="宋体"/>
          <w:szCs w:val="21"/>
          <w:highlight w:val="none"/>
          <w:lang w:eastAsia="zh-CN"/>
        </w:rPr>
        <w:t>。所以对于重要的工程以及对变形要求严格的工程，应选择较强设备能力进行施工，以保证工程质量。</w:t>
      </w:r>
    </w:p>
    <w:p w14:paraId="3AB149C3">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旋喷注浆的主要材料为水泥</w:t>
      </w:r>
      <w:r>
        <w:rPr>
          <w:rFonts w:hint="eastAsia" w:ascii="宋体" w:hAnsi="宋体"/>
          <w:szCs w:val="21"/>
          <w:highlight w:val="none"/>
          <w:lang w:val="en-US" w:eastAsia="zh-CN"/>
        </w:rPr>
        <w:t>或固化剂</w:t>
      </w:r>
      <w:r>
        <w:rPr>
          <w:rFonts w:hint="eastAsia" w:ascii="宋体" w:hAnsi="宋体"/>
          <w:szCs w:val="21"/>
          <w:highlight w:val="none"/>
          <w:lang w:eastAsia="zh-CN"/>
        </w:rPr>
        <w:t>，对于无特殊要求的工程宜采用强度等级为42</w:t>
      </w:r>
      <w:r>
        <w:rPr>
          <w:rFonts w:hint="eastAsia" w:ascii="宋体" w:hAnsi="宋体"/>
          <w:szCs w:val="21"/>
          <w:highlight w:val="none"/>
          <w:lang w:val="en-US" w:eastAsia="zh-CN"/>
        </w:rPr>
        <w:t>.</w:t>
      </w:r>
      <w:r>
        <w:rPr>
          <w:rFonts w:hint="eastAsia" w:ascii="宋体" w:hAnsi="宋体"/>
          <w:szCs w:val="21"/>
          <w:highlight w:val="none"/>
          <w:lang w:eastAsia="zh-CN"/>
        </w:rPr>
        <w:t>5级及以上普通硅酸盐水泥，</w:t>
      </w:r>
      <w:r>
        <w:rPr>
          <w:rFonts w:hint="eastAsia" w:ascii="宋体" w:hAnsi="宋体"/>
          <w:szCs w:val="21"/>
          <w:highlight w:val="none"/>
          <w:lang w:val="en-US" w:eastAsia="zh-CN"/>
        </w:rPr>
        <w:t>或采用SS-W-S固化剂进行配浆</w:t>
      </w:r>
      <w:r>
        <w:rPr>
          <w:rFonts w:hint="eastAsia" w:ascii="宋体" w:hAnsi="宋体"/>
          <w:szCs w:val="21"/>
          <w:highlight w:val="none"/>
          <w:lang w:eastAsia="zh-CN"/>
        </w:rPr>
        <w:t>。根据需要，可在水泥浆</w:t>
      </w:r>
      <w:r>
        <w:rPr>
          <w:rFonts w:hint="eastAsia" w:ascii="宋体" w:hAnsi="宋体"/>
          <w:szCs w:val="21"/>
          <w:highlight w:val="none"/>
          <w:lang w:val="en-US" w:eastAsia="zh-CN"/>
        </w:rPr>
        <w:t>或者流态固化土</w:t>
      </w:r>
      <w:r>
        <w:rPr>
          <w:rFonts w:hint="eastAsia" w:ascii="宋体" w:hAnsi="宋体"/>
          <w:szCs w:val="21"/>
          <w:highlight w:val="none"/>
          <w:lang w:eastAsia="zh-CN"/>
        </w:rPr>
        <w:t>中分别加入适量的外加剂和掺合料，以改善水泥浆液</w:t>
      </w:r>
      <w:r>
        <w:rPr>
          <w:rFonts w:hint="eastAsia" w:ascii="宋体" w:hAnsi="宋体"/>
          <w:szCs w:val="21"/>
          <w:highlight w:val="none"/>
          <w:lang w:val="en-US" w:eastAsia="zh-CN"/>
        </w:rPr>
        <w:t>或流态固化土</w:t>
      </w:r>
      <w:r>
        <w:rPr>
          <w:rFonts w:hint="eastAsia" w:ascii="宋体" w:hAnsi="宋体"/>
          <w:szCs w:val="21"/>
          <w:highlight w:val="none"/>
          <w:lang w:eastAsia="zh-CN"/>
        </w:rPr>
        <w:t>的性能，如</w:t>
      </w:r>
      <w:r>
        <w:rPr>
          <w:rFonts w:hint="eastAsia" w:ascii="宋体" w:hAnsi="宋体"/>
          <w:szCs w:val="21"/>
          <w:highlight w:val="none"/>
          <w:lang w:val="en-US" w:eastAsia="zh-CN"/>
        </w:rPr>
        <w:t>缓凝</w:t>
      </w:r>
      <w:r>
        <w:rPr>
          <w:rFonts w:hint="eastAsia" w:ascii="宋体" w:hAnsi="宋体"/>
          <w:szCs w:val="21"/>
          <w:highlight w:val="none"/>
          <w:lang w:eastAsia="zh-CN"/>
        </w:rPr>
        <w:t>剂、</w:t>
      </w:r>
      <w:r>
        <w:rPr>
          <w:rFonts w:hint="eastAsia" w:ascii="宋体" w:hAnsi="宋体"/>
          <w:bCs/>
          <w:szCs w:val="21"/>
          <w:highlight w:val="none"/>
          <w:lang w:eastAsia="zh-CN"/>
        </w:rPr>
        <w:t>悬浮剂</w:t>
      </w:r>
      <w:r>
        <w:rPr>
          <w:rFonts w:hint="eastAsia" w:ascii="宋体" w:hAnsi="宋体"/>
          <w:szCs w:val="21"/>
          <w:highlight w:val="none"/>
          <w:lang w:eastAsia="zh-CN"/>
        </w:rPr>
        <w:t>等。所用外加剂或掺合剂的数量，应根据水泥土或固化土的特点通过室内配比试验或现场试验确定。当有足够实践经验时，亦可按经验确定。旋喷注浆的材料还可选用化学浆液。因费用昂贵，只有少数工程应用。</w:t>
      </w:r>
    </w:p>
    <w:p w14:paraId="53B76861">
      <w:pPr>
        <w:keepNext w:val="0"/>
        <w:keepLines w:val="0"/>
        <w:pageBreakBefore w:val="0"/>
        <w:widowControl w:val="0"/>
        <w:kinsoku/>
        <w:wordWrap/>
        <w:overflowPunct/>
        <w:topLinePunct w:val="0"/>
        <w:autoSpaceDE/>
        <w:autoSpaceDN/>
        <w:bidi w:val="0"/>
        <w:adjustRightInd/>
        <w:snapToGrid/>
        <w:spacing w:line="312" w:lineRule="exact"/>
        <w:ind w:firstLine="0" w:firstLineChars="0"/>
        <w:jc w:val="left"/>
        <w:textAlignment w:val="auto"/>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 xml:space="preserve">5.5.3 </w:t>
      </w:r>
      <w:r>
        <w:rPr>
          <w:rFonts w:hint="eastAsia" w:ascii="宋体" w:hAnsi="宋体"/>
          <w:szCs w:val="21"/>
          <w:highlight w:val="none"/>
          <w:lang w:eastAsia="zh-CN"/>
        </w:rPr>
        <w:t>旋喷注浆均自下而上进行。当注浆管不能一次提升完成而需分数次卸管时，卸管后喷射的搭接长度不得小于</w:t>
      </w:r>
      <w:r>
        <w:rPr>
          <w:rFonts w:hint="eastAsia" w:ascii="Times New Roman" w:hAnsi="Times New Roman" w:cs="Times New Roman" w:eastAsiaTheme="minorEastAsia"/>
          <w:szCs w:val="21"/>
          <w:highlight w:val="none"/>
          <w:lang w:eastAsia="zh-CN"/>
        </w:rPr>
        <w:t>100mm</w:t>
      </w:r>
      <w:r>
        <w:rPr>
          <w:rFonts w:hint="eastAsia" w:ascii="宋体" w:hAnsi="宋体"/>
          <w:szCs w:val="21"/>
          <w:highlight w:val="none"/>
          <w:lang w:eastAsia="zh-CN"/>
        </w:rPr>
        <w:t>，以保证固结体的整体性。</w:t>
      </w:r>
    </w:p>
    <w:p w14:paraId="0628AA3E">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在不改变喷射参数的条件下，对同一标高的土层作重复喷射时，能加大有效加固范围和提高固结体强度。复喷的方法根据工程要求决定。在实际工作中，旋喷桩通常在底部和顶部进行复喷，以增大承载力和确保处理质量。</w:t>
      </w:r>
    </w:p>
    <w:p w14:paraId="14098B88">
      <w:pPr>
        <w:keepNext w:val="0"/>
        <w:keepLines w:val="0"/>
        <w:pageBreakBefore w:val="0"/>
        <w:widowControl w:val="0"/>
        <w:kinsoku/>
        <w:wordWrap/>
        <w:overflowPunct/>
        <w:topLinePunct w:val="0"/>
        <w:autoSpaceDE/>
        <w:autoSpaceDN/>
        <w:bidi w:val="0"/>
        <w:adjustRightInd/>
        <w:snapToGrid/>
        <w:spacing w:line="312" w:lineRule="exact"/>
        <w:ind w:firstLine="0" w:firstLineChars="0"/>
        <w:jc w:val="left"/>
        <w:textAlignment w:val="auto"/>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 xml:space="preserve">5.5.4 </w:t>
      </w:r>
      <w:r>
        <w:rPr>
          <w:rFonts w:hint="eastAsia" w:ascii="宋体" w:hAnsi="宋体"/>
          <w:szCs w:val="21"/>
          <w:highlight w:val="none"/>
          <w:lang w:eastAsia="zh-CN"/>
        </w:rPr>
        <w:t>当旋喷注浆过程中出现下列异常情况时，需查明原因并采取相应措施：</w:t>
      </w:r>
    </w:p>
    <w:p w14:paraId="7B4B0553">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eastAsiaTheme="minorEastAsia"/>
          <w:b w:val="0"/>
          <w:bCs w:val="0"/>
          <w:szCs w:val="21"/>
          <w:highlight w:val="none"/>
          <w:lang w:val="en-US" w:eastAsia="zh-CN"/>
        </w:rPr>
        <w:t>（1）</w:t>
      </w:r>
      <w:r>
        <w:rPr>
          <w:rFonts w:hint="eastAsia" w:ascii="Times New Roman" w:hAnsi="Times New Roman" w:cs="Times New Roman" w:eastAsiaTheme="minorEastAsia"/>
          <w:szCs w:val="21"/>
          <w:highlight w:val="none"/>
          <w:lang w:val="en-US" w:eastAsia="zh-CN"/>
        </w:rPr>
        <w:t>流量不变而压力突然下降时，应检查各部位的泄漏情况，并应拔出注浆管，检查密封性能。</w:t>
      </w:r>
    </w:p>
    <w:p w14:paraId="4FDD1A2C">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eastAsiaTheme="minorEastAsia"/>
          <w:b w:val="0"/>
          <w:bCs w:val="0"/>
          <w:szCs w:val="21"/>
          <w:highlight w:val="none"/>
          <w:lang w:val="en-US" w:eastAsia="zh-CN"/>
        </w:rPr>
        <w:t>（2）</w:t>
      </w:r>
      <w:r>
        <w:rPr>
          <w:rFonts w:hint="eastAsia" w:ascii="Times New Roman" w:hAnsi="Times New Roman" w:cs="Times New Roman" w:eastAsiaTheme="minorEastAsia"/>
          <w:szCs w:val="21"/>
          <w:highlight w:val="none"/>
          <w:lang w:val="en-US" w:eastAsia="zh-CN"/>
        </w:rPr>
        <w:t>出现不冒浆或断续冒浆时，若系土质松软则视为正常现象，可适当进行复喷；若系附近有空洞、通道，则应不提升注浆管继续注浆直至冒浆为止或拔出注浆管待浆液凝固后重新注浆。</w:t>
      </w:r>
    </w:p>
    <w:p w14:paraId="3D373AFE">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Times New Roman" w:hAnsi="Times New Roman" w:eastAsiaTheme="minorEastAsia"/>
          <w:szCs w:val="21"/>
          <w:highlight w:val="none"/>
          <w:lang w:eastAsia="zh-CN"/>
        </w:rPr>
      </w:pPr>
      <w:r>
        <w:rPr>
          <w:rFonts w:hint="eastAsia" w:ascii="Times New Roman" w:hAnsi="Times New Roman" w:cs="Times New Roman" w:eastAsiaTheme="minorEastAsia"/>
          <w:b w:val="0"/>
          <w:bCs w:val="0"/>
          <w:szCs w:val="21"/>
          <w:highlight w:val="none"/>
          <w:lang w:val="en-US" w:eastAsia="zh-CN"/>
        </w:rPr>
        <w:t>（3）</w:t>
      </w:r>
      <w:r>
        <w:rPr>
          <w:rFonts w:hint="eastAsia" w:ascii="Times New Roman" w:hAnsi="Times New Roman" w:eastAsiaTheme="minorEastAsia"/>
          <w:szCs w:val="21"/>
          <w:highlight w:val="none"/>
          <w:lang w:eastAsia="zh-CN"/>
        </w:rPr>
        <w:t>压力稍有下降时，可能系注浆管被击穿或有孔洞，使喷射能力降低，此时应拔出注浆管进行检查。</w:t>
      </w:r>
    </w:p>
    <w:p w14:paraId="61CD79A7">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Times New Roman" w:hAnsi="Times New Roman" w:cs="Times New Roman" w:eastAsiaTheme="minorEastAsia"/>
          <w:b w:val="0"/>
          <w:bCs w:val="0"/>
          <w:szCs w:val="21"/>
          <w:highlight w:val="none"/>
          <w:lang w:val="en-US" w:eastAsia="zh-CN"/>
        </w:rPr>
        <w:t>（4）</w:t>
      </w:r>
      <w:r>
        <w:rPr>
          <w:rFonts w:hint="eastAsia" w:ascii="Times New Roman" w:hAnsi="Times New Roman" w:eastAsiaTheme="minorEastAsia"/>
          <w:szCs w:val="21"/>
          <w:highlight w:val="none"/>
          <w:lang w:eastAsia="zh-CN"/>
        </w:rPr>
        <w:t>压力</w:t>
      </w:r>
      <w:r>
        <w:rPr>
          <w:rFonts w:hint="eastAsia" w:ascii="宋体" w:hAnsi="宋体"/>
          <w:szCs w:val="21"/>
          <w:highlight w:val="none"/>
          <w:lang w:eastAsia="zh-CN"/>
        </w:rPr>
        <w:t>陡增超过最高限值、流量为零、停机后压力仍不变时，则可能系喷嘴堵塞，应拔管疏通喷嘴。</w:t>
      </w:r>
    </w:p>
    <w:p w14:paraId="2E31DD45">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szCs w:val="21"/>
          <w:highlight w:val="none"/>
          <w:lang w:eastAsia="zh-CN"/>
        </w:rPr>
      </w:pPr>
      <w:r>
        <w:rPr>
          <w:rFonts w:hint="eastAsia" w:ascii="宋体" w:hAnsi="宋体"/>
          <w:szCs w:val="21"/>
          <w:highlight w:val="none"/>
          <w:lang w:eastAsia="zh-CN"/>
        </w:rPr>
        <w:t>应在专门的记录表格上做好自检，如实记录施工的各项参数和详细</w:t>
      </w:r>
      <w:r>
        <w:rPr>
          <w:rFonts w:hint="eastAsia" w:ascii="宋体" w:hAnsi="宋体"/>
          <w:bCs/>
          <w:szCs w:val="21"/>
          <w:highlight w:val="none"/>
          <w:lang w:eastAsia="zh-CN"/>
        </w:rPr>
        <w:t>描述</w:t>
      </w:r>
      <w:r>
        <w:rPr>
          <w:rFonts w:hint="eastAsia" w:ascii="宋体" w:hAnsi="宋体"/>
          <w:szCs w:val="21"/>
          <w:highlight w:val="none"/>
          <w:lang w:eastAsia="zh-CN"/>
        </w:rPr>
        <w:t>喷射注浆时的各种现象，以便判断</w:t>
      </w:r>
      <w:r>
        <w:rPr>
          <w:rFonts w:hint="eastAsia" w:ascii="宋体" w:hAnsi="宋体"/>
          <w:szCs w:val="21"/>
          <w:highlight w:val="none"/>
          <w:lang w:val="en-US" w:eastAsia="zh-CN"/>
        </w:rPr>
        <w:t>喷射</w:t>
      </w:r>
      <w:r>
        <w:rPr>
          <w:rFonts w:hint="eastAsia" w:ascii="宋体" w:hAnsi="宋体"/>
          <w:szCs w:val="21"/>
          <w:highlight w:val="none"/>
          <w:lang w:eastAsia="zh-CN"/>
        </w:rPr>
        <w:t>效果并为质量检验提供资料。</w:t>
      </w:r>
    </w:p>
    <w:p w14:paraId="7A701FE1">
      <w:pPr>
        <w:pStyle w:val="3"/>
        <w:spacing w:before="312" w:after="312"/>
        <w:rPr>
          <w:rFonts w:hint="default" w:ascii="Times New Roman" w:hAnsi="Times New Roman" w:cs="Times New Roman"/>
          <w:highlight w:val="none"/>
          <w:lang w:val="en-US" w:eastAsia="zh-CN"/>
        </w:rPr>
      </w:pPr>
      <w:bookmarkStart w:id="327" w:name="_Toc28037"/>
      <w:bookmarkStart w:id="328" w:name="_Toc30004"/>
      <w:bookmarkStart w:id="329" w:name="_5.6 旋挖工艺_1"/>
      <w:bookmarkStart w:id="330" w:name="_5.6 旋挖成孔_1"/>
      <w:r>
        <w:rPr>
          <w:rFonts w:hint="eastAsia" w:ascii="Times New Roman" w:hAnsi="Times New Roman" w:cs="Times New Roman"/>
          <w:highlight w:val="none"/>
        </w:rPr>
        <w:t>5.</w:t>
      </w:r>
      <w:r>
        <w:rPr>
          <w:rFonts w:hint="eastAsia" w:ascii="Times New Roman" w:hAnsi="Times New Roman" w:cs="Times New Roman"/>
          <w:highlight w:val="none"/>
          <w:lang w:val="en-US" w:eastAsia="zh-CN"/>
        </w:rPr>
        <w:t>6</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旋挖</w:t>
      </w:r>
      <w:bookmarkEnd w:id="327"/>
      <w:r>
        <w:rPr>
          <w:rFonts w:hint="eastAsia" w:ascii="Times New Roman" w:hAnsi="Times New Roman" w:cs="Times New Roman"/>
          <w:highlight w:val="none"/>
          <w:lang w:val="en-US" w:eastAsia="zh-CN"/>
        </w:rPr>
        <w:t>工艺</w:t>
      </w:r>
      <w:bookmarkEnd w:id="328"/>
    </w:p>
    <w:bookmarkEnd w:id="329"/>
    <w:bookmarkEnd w:id="330"/>
    <w:p w14:paraId="59BE6845">
      <w:pPr>
        <w:spacing w:line="340" w:lineRule="exact"/>
        <w:rPr>
          <w:rFonts w:hint="eastAsia" w:ascii="宋体" w:hAnsi="宋体"/>
          <w:szCs w:val="21"/>
          <w:highlight w:val="none"/>
          <w:lang w:val="en-US" w:eastAsia="zh-CN"/>
        </w:rPr>
      </w:pPr>
      <w:r>
        <w:rPr>
          <w:rFonts w:hint="eastAsia" w:ascii="Times New Roman" w:hAnsi="Times New Roman" w:cs="Times New Roman" w:eastAsiaTheme="minorEastAsia"/>
          <w:b/>
          <w:bCs/>
          <w:szCs w:val="21"/>
          <w:highlight w:val="none"/>
          <w:lang w:val="en-US" w:eastAsia="zh-CN"/>
        </w:rPr>
        <w:t>5.6.4</w:t>
      </w:r>
      <w:r>
        <w:rPr>
          <w:rFonts w:hint="eastAsia" w:ascii="Times New Roman" w:hAnsi="Times New Roman" w:cs="Times New Roman" w:eastAsiaTheme="minorEastAsia"/>
          <w:szCs w:val="21"/>
          <w:highlight w:val="none"/>
          <w:lang w:val="en-US" w:eastAsia="zh-CN"/>
        </w:rPr>
        <w:t xml:space="preserve"> </w:t>
      </w:r>
      <w:r>
        <w:rPr>
          <w:rFonts w:hint="eastAsia" w:ascii="宋体" w:hAnsi="宋体"/>
          <w:szCs w:val="21"/>
          <w:highlight w:val="none"/>
          <w:lang w:val="en-US" w:eastAsia="zh-CN"/>
        </w:rPr>
        <w:t>清孔是旋挖植桩施工、保证成桩质量的重要一环，通过清孔确保孔底沉渣厚度符合要求。</w:t>
      </w:r>
    </w:p>
    <w:p w14:paraId="2226F990">
      <w:pPr>
        <w:pStyle w:val="3"/>
        <w:spacing w:before="312" w:after="312"/>
        <w:rPr>
          <w:rFonts w:hint="eastAsia" w:ascii="Times New Roman" w:hAnsi="Times New Roman" w:cs="Times New Roman"/>
          <w:highlight w:val="none"/>
          <w:lang w:eastAsia="zh-CN"/>
        </w:rPr>
      </w:pPr>
      <w:bookmarkStart w:id="331" w:name="_Toc6947"/>
      <w:bookmarkStart w:id="332" w:name="_Toc13711"/>
      <w:bookmarkStart w:id="333" w:name="_5.7 长螺旋成孔"/>
      <w:bookmarkStart w:id="334" w:name="_5.7 长螺旋压灌工艺_1"/>
      <w:r>
        <w:rPr>
          <w:rFonts w:hint="eastAsia" w:ascii="Times New Roman" w:hAnsi="Times New Roman" w:cs="Times New Roman"/>
          <w:highlight w:val="none"/>
        </w:rPr>
        <w:t>5.</w:t>
      </w:r>
      <w:r>
        <w:rPr>
          <w:rFonts w:hint="eastAsia" w:ascii="Times New Roman" w:hAnsi="Times New Roman" w:cs="Times New Roman"/>
          <w:highlight w:val="none"/>
          <w:lang w:val="en-US" w:eastAsia="zh-CN"/>
        </w:rPr>
        <w:t>7</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长螺旋压灌工艺</w:t>
      </w:r>
      <w:bookmarkEnd w:id="331"/>
      <w:bookmarkEnd w:id="332"/>
    </w:p>
    <w:bookmarkEnd w:id="333"/>
    <w:bookmarkEnd w:id="334"/>
    <w:p w14:paraId="2F40C325">
      <w:pPr>
        <w:spacing w:line="340" w:lineRule="exact"/>
        <w:rPr>
          <w:rFonts w:hint="eastAsia" w:ascii="宋体" w:hAnsi="宋体"/>
          <w:szCs w:val="21"/>
          <w:highlight w:val="none"/>
          <w:lang w:val="en-US" w:eastAsia="zh-CN"/>
        </w:rPr>
      </w:pPr>
      <w:r>
        <w:rPr>
          <w:rFonts w:hint="eastAsia" w:ascii="Times New Roman" w:hAnsi="Times New Roman" w:cs="Times New Roman" w:eastAsiaTheme="minorEastAsia"/>
          <w:b/>
          <w:bCs/>
          <w:szCs w:val="21"/>
          <w:highlight w:val="none"/>
          <w:lang w:val="en-US" w:eastAsia="zh-CN"/>
        </w:rPr>
        <w:t>5.7.3</w:t>
      </w:r>
      <w:r>
        <w:rPr>
          <w:rFonts w:hint="eastAsia" w:ascii="Times New Roman" w:hAnsi="Times New Roman" w:cs="Times New Roman" w:eastAsiaTheme="minorEastAsia"/>
          <w:szCs w:val="21"/>
          <w:highlight w:val="none"/>
          <w:lang w:val="en-US" w:eastAsia="zh-CN"/>
        </w:rPr>
        <w:t xml:space="preserve"> </w:t>
      </w:r>
      <w:r>
        <w:rPr>
          <w:rFonts w:hint="eastAsia" w:ascii="宋体" w:hAnsi="宋体"/>
          <w:szCs w:val="21"/>
          <w:highlight w:val="none"/>
          <w:lang w:val="en-US" w:eastAsia="zh-CN"/>
        </w:rPr>
        <w:t>长螺旋成孔终孔时应排除管内空气后，再提钻，提钻前必须先泵入填充料(水泥土或固化土、水泥砂浆或混凝土)，避免桩端存在虚土。</w:t>
      </w:r>
    </w:p>
    <w:p w14:paraId="4D6660F2">
      <w:pPr>
        <w:pStyle w:val="3"/>
        <w:spacing w:before="312" w:after="312"/>
        <w:rPr>
          <w:rFonts w:hint="default" w:ascii="Times New Roman" w:hAnsi="Times New Roman" w:cs="Times New Roman"/>
          <w:highlight w:val="none"/>
          <w:lang w:val="en-US" w:eastAsia="zh-CN"/>
        </w:rPr>
      </w:pPr>
      <w:bookmarkStart w:id="335" w:name="_Toc5541"/>
      <w:bookmarkStart w:id="336" w:name="_Toc29796"/>
      <w:bookmarkStart w:id="337" w:name="_5.8 沉桩与接桩_1"/>
      <w:r>
        <w:rPr>
          <w:rFonts w:hint="eastAsia" w:ascii="Times New Roman" w:hAnsi="Times New Roman" w:cs="Times New Roman"/>
          <w:highlight w:val="none"/>
        </w:rPr>
        <w:t>5.</w:t>
      </w:r>
      <w:r>
        <w:rPr>
          <w:rFonts w:hint="eastAsia" w:ascii="Times New Roman" w:hAnsi="Times New Roman" w:cs="Times New Roman"/>
          <w:highlight w:val="none"/>
          <w:lang w:val="en-US" w:eastAsia="zh-CN"/>
        </w:rPr>
        <w:t>8</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沉桩与接桩</w:t>
      </w:r>
      <w:bookmarkEnd w:id="335"/>
      <w:bookmarkEnd w:id="336"/>
    </w:p>
    <w:bookmarkEnd w:id="337"/>
    <w:p w14:paraId="493C281B">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5.8.2~5.8.3</w:t>
      </w:r>
      <w:r>
        <w:rPr>
          <w:rFonts w:hint="eastAsia" w:ascii="黑体" w:hAnsi="黑体" w:eastAsia="黑体"/>
          <w:bCs/>
          <w:szCs w:val="21"/>
          <w:highlight w:val="none"/>
          <w:lang w:val="en-US" w:eastAsia="zh-CN"/>
        </w:rPr>
        <w:t xml:space="preserve"> </w:t>
      </w:r>
      <w:r>
        <w:rPr>
          <w:rFonts w:hint="default" w:ascii="宋体" w:hAnsi="宋体"/>
          <w:szCs w:val="21"/>
          <w:highlight w:val="none"/>
          <w:lang w:val="en-US" w:eastAsia="zh-CN"/>
        </w:rPr>
        <w:t>当采用锤击沉桩时应坚持“重锤轻击”的原则。静压或锤击沉桩参数以工艺</w:t>
      </w:r>
      <w:r>
        <w:rPr>
          <w:rFonts w:hint="eastAsia" w:ascii="宋体" w:hAnsi="宋体"/>
          <w:szCs w:val="21"/>
          <w:highlight w:val="none"/>
          <w:lang w:val="en-US" w:eastAsia="zh-CN"/>
        </w:rPr>
        <w:t>性</w:t>
      </w:r>
      <w:r>
        <w:rPr>
          <w:rFonts w:hint="default" w:ascii="宋体" w:hAnsi="宋体"/>
          <w:szCs w:val="21"/>
          <w:highlight w:val="none"/>
          <w:lang w:val="en-US" w:eastAsia="zh-CN"/>
        </w:rPr>
        <w:t>试验为准。当端承桩以混凝土为填充料时，可能出现沉桩深度无法达到预成孔孔底标高的情况，该情况下以压桩力或贯人度控制为主，确保预制桩桩底无虚土</w:t>
      </w:r>
      <w:r>
        <w:rPr>
          <w:rFonts w:hint="eastAsia" w:ascii="宋体" w:hAnsi="宋体"/>
          <w:szCs w:val="21"/>
          <w:highlight w:val="none"/>
          <w:lang w:val="en-US" w:eastAsia="zh-CN"/>
        </w:rPr>
        <w:t>，</w:t>
      </w:r>
      <w:r>
        <w:rPr>
          <w:rFonts w:hint="default" w:ascii="宋体" w:hAnsi="宋体"/>
          <w:szCs w:val="21"/>
          <w:highlight w:val="none"/>
          <w:lang w:val="en-US" w:eastAsia="zh-CN"/>
        </w:rPr>
        <w:t>以岩石为持力层时，不得破坏桩端岩石。</w:t>
      </w:r>
    </w:p>
    <w:p w14:paraId="6E6B8A61">
      <w:pPr>
        <w:pStyle w:val="2"/>
        <w:spacing w:before="156" w:after="156"/>
        <w:rPr>
          <w:highlight w:val="none"/>
        </w:rPr>
      </w:pPr>
      <w:bookmarkStart w:id="338" w:name="__x000F_6 质量检测及验收"/>
      <w:bookmarkStart w:id="339" w:name="__x000F_6 质量检测及验收_1"/>
      <w:r>
        <w:rPr>
          <w:rFonts w:hint="eastAsia" w:ascii="宋体"/>
          <w:szCs w:val="21"/>
          <w:highlight w:val="none"/>
        </w:rPr>
        <w:br w:type="page"/>
      </w:r>
      <w:bookmarkStart w:id="340" w:name="_Toc21617"/>
      <w:bookmarkStart w:id="341" w:name="_Toc29987"/>
      <w:bookmarkStart w:id="342" w:name="_Toc28439"/>
      <w:bookmarkStart w:id="343" w:name="_Toc5543"/>
      <w:bookmarkStart w:id="344" w:name="_Toc28787"/>
      <w:bookmarkStart w:id="345" w:name="_Toc22648"/>
      <w:bookmarkStart w:id="346" w:name="_Toc12388"/>
      <w:r>
        <w:rPr>
          <w:rFonts w:hint="default" w:ascii="Times New Roman" w:hAnsi="Times New Roman" w:cs="Times New Roman"/>
          <w:highlight w:val="none"/>
        </w:rPr>
        <w:t xml:space="preserve">6 </w:t>
      </w:r>
      <w:r>
        <w:rPr>
          <w:rFonts w:hint="eastAsia"/>
          <w:highlight w:val="none"/>
          <w:lang w:val="en-US" w:eastAsia="zh-CN"/>
        </w:rPr>
        <w:t>质量检测及验收</w:t>
      </w:r>
      <w:bookmarkEnd w:id="340"/>
      <w:bookmarkEnd w:id="341"/>
      <w:bookmarkEnd w:id="342"/>
      <w:bookmarkEnd w:id="343"/>
      <w:bookmarkEnd w:id="344"/>
      <w:bookmarkEnd w:id="345"/>
      <w:bookmarkEnd w:id="346"/>
    </w:p>
    <w:bookmarkEnd w:id="338"/>
    <w:bookmarkEnd w:id="339"/>
    <w:p w14:paraId="104C615E">
      <w:pPr>
        <w:pStyle w:val="3"/>
        <w:spacing w:before="312" w:after="312"/>
        <w:rPr>
          <w:rFonts w:ascii="黑体" w:hAnsi="黑体"/>
          <w:highlight w:val="none"/>
        </w:rPr>
      </w:pPr>
      <w:bookmarkStart w:id="347" w:name="_Toc16441"/>
      <w:bookmarkStart w:id="348" w:name="_Toc17352"/>
      <w:bookmarkStart w:id="349" w:name="_Toc960"/>
      <w:bookmarkStart w:id="350" w:name="_Toc7714"/>
      <w:bookmarkStart w:id="351" w:name="_Toc16521"/>
      <w:bookmarkStart w:id="352" w:name="_Toc30114"/>
      <w:bookmarkStart w:id="353" w:name="_Toc15439"/>
      <w:bookmarkStart w:id="354" w:name="_Toc29200"/>
      <w:bookmarkStart w:id="355" w:name="_6.1 一般规定_1"/>
      <w:r>
        <w:rPr>
          <w:rFonts w:hint="eastAsia" w:ascii="Times New Roman" w:hAnsi="Times New Roman" w:cs="Times New Roman"/>
          <w:highlight w:val="none"/>
        </w:rPr>
        <w:t xml:space="preserve">6.1 </w:t>
      </w:r>
      <w:r>
        <w:rPr>
          <w:rFonts w:hint="eastAsia" w:ascii="黑体" w:hAnsi="黑体"/>
          <w:highlight w:val="none"/>
        </w:rPr>
        <w:t>一般规定</w:t>
      </w:r>
      <w:bookmarkEnd w:id="347"/>
      <w:bookmarkEnd w:id="348"/>
      <w:bookmarkEnd w:id="349"/>
      <w:bookmarkEnd w:id="350"/>
      <w:bookmarkEnd w:id="351"/>
      <w:bookmarkEnd w:id="352"/>
      <w:bookmarkEnd w:id="353"/>
      <w:bookmarkEnd w:id="354"/>
    </w:p>
    <w:bookmarkEnd w:id="355"/>
    <w:p w14:paraId="2402A312">
      <w:pPr>
        <w:spacing w:line="320" w:lineRule="exact"/>
        <w:rPr>
          <w:rFonts w:hint="eastAsia" w:ascii="宋体" w:hAnsi="宋体"/>
          <w:bCs/>
          <w:szCs w:val="21"/>
          <w:highlight w:val="none"/>
          <w:lang w:eastAsia="zh-CN"/>
        </w:rPr>
      </w:pPr>
      <w:r>
        <w:rPr>
          <w:rFonts w:hint="eastAsia" w:ascii="Times New Roman" w:hAnsi="Times New Roman" w:cs="Times New Roman" w:eastAsiaTheme="minorEastAsia"/>
          <w:b/>
          <w:bCs/>
          <w:szCs w:val="21"/>
          <w:highlight w:val="none"/>
          <w:lang w:val="en-US" w:eastAsia="zh-CN"/>
        </w:rPr>
        <w:t>6.1.1</w:t>
      </w:r>
      <w:r>
        <w:rPr>
          <w:rFonts w:hint="eastAsia" w:ascii="黑体" w:hAnsi="黑体" w:eastAsia="黑体"/>
          <w:bCs/>
          <w:szCs w:val="21"/>
          <w:highlight w:val="none"/>
        </w:rPr>
        <w:t xml:space="preserve"> </w:t>
      </w:r>
      <w:r>
        <w:rPr>
          <w:rFonts w:hint="eastAsia" w:ascii="宋体" w:hAnsi="宋体"/>
          <w:bCs/>
          <w:szCs w:val="21"/>
          <w:highlight w:val="none"/>
          <w:lang w:eastAsia="zh-CN"/>
        </w:rPr>
        <w:t>影响</w:t>
      </w:r>
      <w:r>
        <w:rPr>
          <w:rFonts w:hint="eastAsia" w:ascii="宋体" w:hAnsi="宋体"/>
          <w:bCs/>
          <w:szCs w:val="21"/>
          <w:highlight w:val="none"/>
          <w:lang w:val="en-US" w:eastAsia="zh-CN"/>
        </w:rPr>
        <w:t>预制桩植桩</w:t>
      </w:r>
      <w:r>
        <w:rPr>
          <w:rFonts w:hint="eastAsia" w:ascii="宋体" w:hAnsi="宋体"/>
          <w:bCs/>
          <w:szCs w:val="21"/>
          <w:highlight w:val="none"/>
          <w:lang w:eastAsia="zh-CN"/>
        </w:rPr>
        <w:t>单桩承载力和桩身完整性的因素存在于桩基施工的全过程中，仅有施工后的</w:t>
      </w:r>
      <w:r>
        <w:rPr>
          <w:rFonts w:hint="eastAsia" w:ascii="宋体" w:hAnsi="宋体"/>
          <w:bCs/>
          <w:szCs w:val="21"/>
          <w:highlight w:val="none"/>
          <w:lang w:val="en-US" w:eastAsia="zh-CN"/>
        </w:rPr>
        <w:t>检测及</w:t>
      </w:r>
      <w:r>
        <w:rPr>
          <w:rFonts w:hint="eastAsia" w:ascii="宋体" w:hAnsi="宋体"/>
          <w:bCs/>
          <w:szCs w:val="21"/>
          <w:highlight w:val="none"/>
          <w:lang w:eastAsia="zh-CN"/>
        </w:rPr>
        <w:t>验收是不全面、不完整的。如施工过程中出现的局部地质条件与岩土工程勘察报告不符、工程桩施工参数与成桩工艺性试验确定的参数不同、原材料发生变化、设计变更、施工单位变更等情况，都可能产生质量隐患，因此，加强施工过程中的</w:t>
      </w:r>
      <w:r>
        <w:rPr>
          <w:rFonts w:hint="eastAsia" w:ascii="宋体" w:hAnsi="宋体"/>
          <w:bCs/>
          <w:szCs w:val="21"/>
          <w:highlight w:val="none"/>
          <w:lang w:val="en-US" w:eastAsia="zh-CN"/>
        </w:rPr>
        <w:t>检测</w:t>
      </w:r>
      <w:r>
        <w:rPr>
          <w:rFonts w:hint="eastAsia" w:ascii="宋体" w:hAnsi="宋体"/>
          <w:bCs/>
          <w:szCs w:val="21"/>
          <w:highlight w:val="none"/>
          <w:lang w:eastAsia="zh-CN"/>
        </w:rPr>
        <w:t>是有必要的，应按不同施工阶段对</w:t>
      </w:r>
      <w:r>
        <w:rPr>
          <w:rFonts w:hint="eastAsia" w:ascii="宋体" w:hAnsi="宋体"/>
          <w:bCs/>
          <w:szCs w:val="21"/>
          <w:highlight w:val="none"/>
          <w:lang w:val="en-US" w:eastAsia="zh-CN"/>
        </w:rPr>
        <w:t>预制桩植桩</w:t>
      </w:r>
      <w:r>
        <w:rPr>
          <w:rFonts w:hint="eastAsia" w:ascii="宋体" w:hAnsi="宋体"/>
          <w:bCs/>
          <w:szCs w:val="21"/>
          <w:highlight w:val="none"/>
          <w:lang w:eastAsia="zh-CN"/>
        </w:rPr>
        <w:t>进行检</w:t>
      </w:r>
      <w:r>
        <w:rPr>
          <w:rFonts w:hint="eastAsia" w:ascii="宋体" w:hAnsi="宋体"/>
          <w:bCs/>
          <w:szCs w:val="21"/>
          <w:highlight w:val="none"/>
          <w:lang w:val="en-US" w:eastAsia="zh-CN"/>
        </w:rPr>
        <w:t>测</w:t>
      </w:r>
      <w:r>
        <w:rPr>
          <w:rFonts w:hint="eastAsia" w:ascii="宋体" w:hAnsi="宋体"/>
          <w:bCs/>
          <w:szCs w:val="21"/>
          <w:highlight w:val="none"/>
          <w:lang w:eastAsia="zh-CN"/>
        </w:rPr>
        <w:t>。</w:t>
      </w:r>
    </w:p>
    <w:p w14:paraId="642C4764">
      <w:pPr>
        <w:pStyle w:val="3"/>
        <w:spacing w:before="312" w:after="312"/>
        <w:rPr>
          <w:highlight w:val="none"/>
        </w:rPr>
      </w:pPr>
      <w:bookmarkStart w:id="356" w:name="_Toc16062"/>
      <w:bookmarkStart w:id="357" w:name="_Toc6271"/>
      <w:bookmarkStart w:id="358" w:name="_Toc24381"/>
      <w:bookmarkStart w:id="359" w:name="_Toc26192"/>
      <w:bookmarkStart w:id="360" w:name="_Toc24510"/>
      <w:bookmarkStart w:id="361" w:name="_Toc28733"/>
      <w:bookmarkStart w:id="362" w:name="_Toc5409"/>
      <w:bookmarkStart w:id="363" w:name="_Toc13917"/>
      <w:bookmarkStart w:id="364" w:name="_6.2 施工前检测_1"/>
      <w:r>
        <w:rPr>
          <w:rFonts w:hint="eastAsia" w:ascii="Times New Roman" w:hAnsi="Times New Roman" w:cs="Times New Roman"/>
          <w:highlight w:val="none"/>
        </w:rPr>
        <w:t xml:space="preserve">6.2 </w:t>
      </w:r>
      <w:r>
        <w:rPr>
          <w:rFonts w:hint="eastAsia" w:ascii="黑体" w:hAnsi="黑体"/>
          <w:highlight w:val="none"/>
          <w:lang w:val="en-US" w:eastAsia="zh-CN"/>
        </w:rPr>
        <w:t>施工前</w:t>
      </w:r>
      <w:bookmarkEnd w:id="356"/>
      <w:bookmarkEnd w:id="357"/>
      <w:bookmarkEnd w:id="358"/>
      <w:bookmarkEnd w:id="359"/>
      <w:r>
        <w:rPr>
          <w:rFonts w:hint="eastAsia" w:ascii="黑体" w:hAnsi="黑体"/>
          <w:highlight w:val="none"/>
          <w:lang w:val="en-US" w:eastAsia="zh-CN"/>
        </w:rPr>
        <w:t>检测</w:t>
      </w:r>
      <w:bookmarkEnd w:id="360"/>
      <w:bookmarkEnd w:id="361"/>
      <w:bookmarkEnd w:id="362"/>
      <w:bookmarkEnd w:id="363"/>
      <w:r>
        <w:rPr>
          <w:rFonts w:hint="eastAsia"/>
          <w:highlight w:val="none"/>
        </w:rPr>
        <w:t xml:space="preserve"> </w:t>
      </w:r>
    </w:p>
    <w:bookmarkEnd w:id="364"/>
    <w:p w14:paraId="53FF562D">
      <w:pPr>
        <w:spacing w:line="320" w:lineRule="exact"/>
        <w:rPr>
          <w:rFonts w:hint="eastAsia" w:ascii="宋体" w:hAnsi="宋体"/>
          <w:bCs/>
          <w:szCs w:val="21"/>
          <w:highlight w:val="none"/>
          <w:lang w:eastAsia="zh-CN"/>
        </w:rPr>
      </w:pPr>
      <w:r>
        <w:rPr>
          <w:rFonts w:hint="eastAsia" w:ascii="Times New Roman" w:hAnsi="Times New Roman" w:cs="Times New Roman" w:eastAsiaTheme="minorEastAsia"/>
          <w:b/>
          <w:bCs/>
          <w:szCs w:val="21"/>
          <w:highlight w:val="none"/>
          <w:lang w:val="en-US" w:eastAsia="zh-CN"/>
        </w:rPr>
        <w:t>6.2.1~6.2.4</w:t>
      </w:r>
      <w:r>
        <w:rPr>
          <w:rFonts w:hint="eastAsia" w:ascii="宋体" w:hAnsi="宋体"/>
          <w:b/>
          <w:szCs w:val="21"/>
          <w:highlight w:val="none"/>
        </w:rPr>
        <w:t xml:space="preserve"> </w:t>
      </w:r>
      <w:r>
        <w:rPr>
          <w:rFonts w:hint="eastAsia" w:ascii="宋体" w:hAnsi="宋体"/>
          <w:bCs/>
          <w:szCs w:val="21"/>
          <w:highlight w:val="none"/>
          <w:lang w:eastAsia="zh-CN"/>
        </w:rPr>
        <w:t>参照国家现行标准《建筑地基基础工程施工质量验收规范》</w:t>
      </w:r>
      <w:r>
        <w:rPr>
          <w:rFonts w:hint="eastAsia" w:ascii="Times New Roman" w:hAnsi="Times New Roman" w:cs="Times New Roman" w:eastAsiaTheme="minorEastAsia"/>
          <w:szCs w:val="21"/>
          <w:highlight w:val="none"/>
          <w:lang w:eastAsia="zh-CN"/>
        </w:rPr>
        <w:t>GB 50202</w:t>
      </w:r>
      <w:r>
        <w:rPr>
          <w:rFonts w:hint="eastAsia" w:ascii="宋体" w:hAnsi="宋体"/>
          <w:bCs/>
          <w:szCs w:val="21"/>
          <w:highlight w:val="none"/>
          <w:lang w:eastAsia="zh-CN"/>
        </w:rPr>
        <w:t>、《建筑桩基技术规范》</w:t>
      </w:r>
      <w:r>
        <w:rPr>
          <w:rFonts w:hint="eastAsia" w:ascii="Times New Roman" w:hAnsi="Times New Roman" w:cs="Times New Roman" w:eastAsiaTheme="minorEastAsia"/>
          <w:szCs w:val="21"/>
          <w:highlight w:val="none"/>
          <w:lang w:eastAsia="zh-CN"/>
        </w:rPr>
        <w:t>JGJ</w:t>
      </w:r>
      <w:r>
        <w:rPr>
          <w:rFonts w:hint="eastAsia" w:ascii="Times New Roman" w:hAnsi="Times New Roman" w:cs="Times New Roman" w:eastAsiaTheme="minorEastAsia"/>
          <w:szCs w:val="21"/>
          <w:highlight w:val="none"/>
          <w:lang w:val="en-US" w:eastAsia="zh-CN"/>
        </w:rPr>
        <w:t xml:space="preserve"> </w:t>
      </w:r>
      <w:r>
        <w:rPr>
          <w:rFonts w:hint="eastAsia" w:ascii="Times New Roman" w:hAnsi="Times New Roman" w:cs="Times New Roman" w:eastAsiaTheme="minorEastAsia"/>
          <w:szCs w:val="21"/>
          <w:highlight w:val="none"/>
          <w:lang w:eastAsia="zh-CN"/>
        </w:rPr>
        <w:t>94</w:t>
      </w:r>
      <w:r>
        <w:rPr>
          <w:rFonts w:hint="eastAsia" w:ascii="宋体" w:hAnsi="宋体"/>
          <w:bCs/>
          <w:szCs w:val="21"/>
          <w:highlight w:val="none"/>
          <w:lang w:eastAsia="zh-CN"/>
        </w:rPr>
        <w:t>给出了</w:t>
      </w:r>
      <w:r>
        <w:rPr>
          <w:rFonts w:hint="eastAsia" w:ascii="宋体" w:hAnsi="宋体"/>
          <w:bCs/>
          <w:szCs w:val="21"/>
          <w:highlight w:val="none"/>
          <w:lang w:val="en-US" w:eastAsia="zh-CN"/>
        </w:rPr>
        <w:t>预制桩植桩</w:t>
      </w:r>
      <w:r>
        <w:rPr>
          <w:rFonts w:hint="eastAsia" w:ascii="宋体" w:hAnsi="宋体"/>
          <w:bCs/>
          <w:szCs w:val="21"/>
          <w:highlight w:val="none"/>
          <w:lang w:eastAsia="zh-CN"/>
        </w:rPr>
        <w:t>施工前质量</w:t>
      </w:r>
      <w:r>
        <w:rPr>
          <w:rFonts w:hint="eastAsia" w:ascii="宋体" w:hAnsi="宋体"/>
          <w:bCs/>
          <w:szCs w:val="21"/>
          <w:highlight w:val="none"/>
          <w:lang w:val="en-US" w:eastAsia="zh-CN"/>
        </w:rPr>
        <w:t>检测</w:t>
      </w:r>
      <w:r>
        <w:rPr>
          <w:rFonts w:hint="eastAsia" w:ascii="宋体" w:hAnsi="宋体"/>
          <w:bCs/>
          <w:szCs w:val="21"/>
          <w:highlight w:val="none"/>
          <w:lang w:eastAsia="zh-CN"/>
        </w:rPr>
        <w:t>标准。</w:t>
      </w:r>
    </w:p>
    <w:p w14:paraId="40516F94">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bCs/>
          <w:szCs w:val="21"/>
          <w:highlight w:val="none"/>
          <w:lang w:eastAsia="zh-CN"/>
        </w:rPr>
      </w:pPr>
      <w:r>
        <w:rPr>
          <w:rFonts w:hint="eastAsia" w:ascii="宋体" w:hAnsi="宋体"/>
          <w:bCs/>
          <w:szCs w:val="21"/>
          <w:highlight w:val="none"/>
          <w:lang w:eastAsia="zh-CN"/>
        </w:rPr>
        <w:t>进入现场的</w:t>
      </w:r>
      <w:r>
        <w:rPr>
          <w:rFonts w:hint="eastAsia" w:ascii="宋体" w:hAnsi="宋体"/>
          <w:bCs/>
          <w:szCs w:val="21"/>
          <w:highlight w:val="none"/>
          <w:lang w:val="en-US" w:eastAsia="zh-CN"/>
        </w:rPr>
        <w:t>预制</w:t>
      </w:r>
      <w:r>
        <w:rPr>
          <w:rFonts w:hint="eastAsia" w:ascii="宋体" w:hAnsi="宋体"/>
          <w:bCs/>
          <w:szCs w:val="21"/>
          <w:highlight w:val="none"/>
          <w:lang w:eastAsia="zh-CN"/>
        </w:rPr>
        <w:t>桩除应按</w:t>
      </w:r>
      <w:r>
        <w:rPr>
          <w:rFonts w:hint="eastAsia" w:ascii="宋体" w:hAnsi="宋体"/>
          <w:bCs/>
          <w:szCs w:val="21"/>
          <w:highlight w:val="none"/>
          <w:lang w:val="en-US" w:eastAsia="zh-CN"/>
        </w:rPr>
        <w:t>相关规范</w:t>
      </w:r>
      <w:r>
        <w:rPr>
          <w:rFonts w:hint="eastAsia" w:ascii="宋体" w:hAnsi="宋体"/>
          <w:bCs/>
          <w:szCs w:val="21"/>
          <w:highlight w:val="none"/>
          <w:lang w:eastAsia="zh-CN"/>
        </w:rPr>
        <w:t>要求进行检查外，还必须查验产品合格证。</w:t>
      </w:r>
      <w:r>
        <w:rPr>
          <w:rFonts w:hint="eastAsia" w:ascii="宋体" w:hAnsi="宋体"/>
          <w:bCs/>
          <w:szCs w:val="21"/>
          <w:highlight w:val="none"/>
          <w:lang w:val="en-US" w:eastAsia="zh-CN"/>
        </w:rPr>
        <w:t>预制</w:t>
      </w:r>
      <w:r>
        <w:rPr>
          <w:rFonts w:hint="eastAsia" w:ascii="宋体" w:hAnsi="宋体"/>
          <w:bCs/>
          <w:szCs w:val="21"/>
          <w:highlight w:val="none"/>
          <w:lang w:eastAsia="zh-CN"/>
        </w:rPr>
        <w:t>桩内壁浮浆严重影响填芯混凝土与</w:t>
      </w:r>
      <w:r>
        <w:rPr>
          <w:rFonts w:hint="eastAsia" w:ascii="宋体" w:hAnsi="宋体"/>
          <w:bCs/>
          <w:szCs w:val="21"/>
          <w:highlight w:val="none"/>
          <w:lang w:val="en-US" w:eastAsia="zh-CN"/>
        </w:rPr>
        <w:t>预制</w:t>
      </w:r>
      <w:r>
        <w:rPr>
          <w:rFonts w:hint="eastAsia" w:ascii="宋体" w:hAnsi="宋体"/>
          <w:bCs/>
          <w:szCs w:val="21"/>
          <w:highlight w:val="none"/>
          <w:lang w:eastAsia="zh-CN"/>
        </w:rPr>
        <w:t>桩内壁的粘结力，降低二者的整体性，因此</w:t>
      </w:r>
      <w:r>
        <w:rPr>
          <w:rFonts w:hint="eastAsia" w:ascii="宋体" w:hAnsi="宋体"/>
          <w:bCs/>
          <w:szCs w:val="21"/>
          <w:highlight w:val="none"/>
          <w:lang w:val="en-US" w:eastAsia="zh-CN"/>
        </w:rPr>
        <w:t>预制</w:t>
      </w:r>
      <w:r>
        <w:rPr>
          <w:rFonts w:hint="eastAsia" w:ascii="宋体" w:hAnsi="宋体"/>
          <w:bCs/>
          <w:szCs w:val="21"/>
          <w:highlight w:val="none"/>
          <w:lang w:eastAsia="zh-CN"/>
        </w:rPr>
        <w:t>桩内壁不得残留有浮浆。</w:t>
      </w:r>
    </w:p>
    <w:p w14:paraId="325CBDFF">
      <w:pPr>
        <w:keepNext w:val="0"/>
        <w:keepLines w:val="0"/>
        <w:pageBreakBefore w:val="0"/>
        <w:widowControl w:val="0"/>
        <w:kinsoku/>
        <w:wordWrap/>
        <w:overflowPunct/>
        <w:topLinePunct w:val="0"/>
        <w:autoSpaceDE/>
        <w:autoSpaceDN/>
        <w:bidi w:val="0"/>
        <w:adjustRightInd/>
        <w:snapToGrid/>
        <w:spacing w:line="312" w:lineRule="exact"/>
        <w:ind w:firstLine="420" w:firstLineChars="200"/>
        <w:jc w:val="left"/>
        <w:textAlignment w:val="auto"/>
        <w:rPr>
          <w:rFonts w:hint="eastAsia" w:ascii="宋体" w:hAnsi="宋体"/>
          <w:bCs/>
          <w:szCs w:val="21"/>
          <w:highlight w:val="none"/>
          <w:lang w:eastAsia="zh-CN"/>
        </w:rPr>
      </w:pPr>
      <w:r>
        <w:rPr>
          <w:rFonts w:hint="eastAsia" w:ascii="宋体" w:hAnsi="宋体"/>
          <w:bCs/>
          <w:szCs w:val="21"/>
          <w:highlight w:val="none"/>
          <w:lang w:eastAsia="zh-CN"/>
        </w:rPr>
        <w:t>桩位放样指的是施工前按本</w:t>
      </w:r>
      <w:r>
        <w:rPr>
          <w:rFonts w:hint="eastAsia" w:ascii="宋体" w:hAnsi="宋体"/>
          <w:bCs/>
          <w:szCs w:val="21"/>
          <w:highlight w:val="none"/>
          <w:lang w:val="en-US" w:eastAsia="zh-CN"/>
        </w:rPr>
        <w:t>规范</w:t>
      </w:r>
      <w:r>
        <w:rPr>
          <w:rFonts w:hint="eastAsia" w:ascii="宋体" w:hAnsi="宋体"/>
          <w:bCs/>
          <w:szCs w:val="21"/>
          <w:highlight w:val="none"/>
          <w:lang w:eastAsia="zh-CN"/>
        </w:rPr>
        <w:t>要求根据</w:t>
      </w:r>
      <w:r>
        <w:rPr>
          <w:rFonts w:hint="eastAsia" w:ascii="宋体" w:hAnsi="宋体"/>
          <w:bCs/>
          <w:szCs w:val="21"/>
          <w:highlight w:val="none"/>
          <w:lang w:val="en-US" w:eastAsia="zh-CN"/>
        </w:rPr>
        <w:t>预制桩植桩</w:t>
      </w:r>
      <w:r>
        <w:rPr>
          <w:rFonts w:hint="eastAsia" w:ascii="宋体" w:hAnsi="宋体"/>
          <w:bCs/>
          <w:szCs w:val="21"/>
          <w:highlight w:val="none"/>
          <w:lang w:eastAsia="zh-CN"/>
        </w:rPr>
        <w:t>桩位平面布置图在施工现场进行的桩位放样，有别于</w:t>
      </w:r>
      <w:r>
        <w:rPr>
          <w:rFonts w:hint="eastAsia" w:ascii="宋体" w:hAnsi="宋体"/>
          <w:bCs/>
          <w:szCs w:val="21"/>
          <w:highlight w:val="none"/>
          <w:lang w:val="en-US" w:eastAsia="zh-CN"/>
        </w:rPr>
        <w:t>预成孔</w:t>
      </w:r>
      <w:r>
        <w:rPr>
          <w:rFonts w:hint="eastAsia" w:ascii="宋体" w:hAnsi="宋体"/>
          <w:bCs/>
          <w:szCs w:val="21"/>
          <w:highlight w:val="none"/>
          <w:lang w:eastAsia="zh-CN"/>
        </w:rPr>
        <w:t>施工结束后</w:t>
      </w:r>
      <w:r>
        <w:rPr>
          <w:rFonts w:hint="eastAsia" w:ascii="宋体" w:hAnsi="宋体"/>
          <w:bCs/>
          <w:szCs w:val="21"/>
          <w:highlight w:val="none"/>
          <w:lang w:val="en-US" w:eastAsia="zh-CN"/>
        </w:rPr>
        <w:t>预制</w:t>
      </w:r>
      <w:r>
        <w:rPr>
          <w:rFonts w:hint="eastAsia" w:ascii="宋体" w:hAnsi="宋体"/>
          <w:bCs/>
          <w:szCs w:val="21"/>
          <w:highlight w:val="none"/>
          <w:lang w:eastAsia="zh-CN"/>
        </w:rPr>
        <w:t>桩施工前的放样定位。</w:t>
      </w:r>
    </w:p>
    <w:p w14:paraId="3377890D">
      <w:pPr>
        <w:keepNext w:val="0"/>
        <w:keepLines w:val="0"/>
        <w:pageBreakBefore w:val="0"/>
        <w:widowControl w:val="0"/>
        <w:kinsoku/>
        <w:wordWrap/>
        <w:overflowPunct/>
        <w:topLinePunct w:val="0"/>
        <w:autoSpaceDE/>
        <w:autoSpaceDN/>
        <w:bidi w:val="0"/>
        <w:adjustRightInd/>
        <w:snapToGrid/>
        <w:spacing w:line="312" w:lineRule="exact"/>
        <w:ind w:firstLine="422" w:firstLineChars="200"/>
        <w:jc w:val="left"/>
        <w:textAlignment w:val="auto"/>
        <w:rPr>
          <w:rFonts w:ascii="宋体" w:hAnsi="宋体"/>
          <w:szCs w:val="21"/>
          <w:highlight w:val="none"/>
        </w:rPr>
      </w:pPr>
      <w:r>
        <w:rPr>
          <w:rFonts w:hint="eastAsia" w:ascii="宋体" w:hAnsi="宋体"/>
          <w:b/>
          <w:szCs w:val="21"/>
          <w:highlight w:val="none"/>
        </w:rPr>
        <w:t xml:space="preserve"> </w:t>
      </w:r>
    </w:p>
    <w:p w14:paraId="18C3CEC3">
      <w:pPr>
        <w:pStyle w:val="3"/>
        <w:spacing w:before="312" w:after="312"/>
        <w:rPr>
          <w:rFonts w:hint="default" w:ascii="黑体" w:hAnsi="黑体"/>
          <w:highlight w:val="none"/>
          <w:lang w:val="en-US"/>
        </w:rPr>
      </w:pPr>
      <w:bookmarkStart w:id="365" w:name="_Toc21553"/>
      <w:bookmarkStart w:id="366" w:name="_Toc21027"/>
      <w:bookmarkStart w:id="367" w:name="_Toc5359"/>
      <w:bookmarkStart w:id="368" w:name="_Toc25646"/>
      <w:bookmarkStart w:id="369" w:name="_Toc22918"/>
      <w:bookmarkStart w:id="370" w:name="_Toc20943"/>
      <w:bookmarkStart w:id="371" w:name="_Toc18031"/>
      <w:bookmarkStart w:id="372" w:name="_Toc28637"/>
      <w:bookmarkStart w:id="373" w:name="_6.3 施工中检测_1"/>
      <w:r>
        <w:rPr>
          <w:rFonts w:hint="eastAsia" w:ascii="Times New Roman" w:hAnsi="Times New Roman" w:cs="Times New Roman"/>
          <w:highlight w:val="none"/>
        </w:rPr>
        <w:t xml:space="preserve">6.3 </w:t>
      </w:r>
      <w:r>
        <w:rPr>
          <w:rFonts w:hint="eastAsia" w:ascii="黑体" w:hAnsi="黑体"/>
          <w:highlight w:val="none"/>
          <w:lang w:val="en-US" w:eastAsia="zh-CN"/>
        </w:rPr>
        <w:t>施工中</w:t>
      </w:r>
      <w:bookmarkEnd w:id="365"/>
      <w:bookmarkEnd w:id="366"/>
      <w:bookmarkEnd w:id="367"/>
      <w:bookmarkEnd w:id="368"/>
      <w:r>
        <w:rPr>
          <w:rFonts w:hint="eastAsia" w:ascii="黑体" w:hAnsi="黑体"/>
          <w:highlight w:val="none"/>
          <w:lang w:val="en-US" w:eastAsia="zh-CN"/>
        </w:rPr>
        <w:t>检测</w:t>
      </w:r>
      <w:bookmarkEnd w:id="369"/>
      <w:bookmarkEnd w:id="370"/>
      <w:bookmarkEnd w:id="371"/>
      <w:bookmarkEnd w:id="372"/>
    </w:p>
    <w:bookmarkEnd w:id="373"/>
    <w:p w14:paraId="5CF347F0">
      <w:pPr>
        <w:spacing w:line="33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6.3.1</w:t>
      </w:r>
      <w:r>
        <w:rPr>
          <w:rFonts w:hint="eastAsia" w:ascii="宋体" w:hAnsi="宋体"/>
          <w:szCs w:val="21"/>
          <w:highlight w:val="none"/>
        </w:rPr>
        <w:t xml:space="preserve"> </w:t>
      </w:r>
      <w:r>
        <w:rPr>
          <w:rFonts w:hint="eastAsia" w:ascii="宋体" w:hAnsi="宋体"/>
          <w:szCs w:val="21"/>
          <w:highlight w:val="none"/>
          <w:lang w:eastAsia="zh-CN"/>
        </w:rPr>
        <w:t>第一节底桩垂直度控制的好坏对整根桩的垂直度影响至关重要，因此对底桩垂直度控制要严格一些，不得大于</w:t>
      </w:r>
      <w:r>
        <w:rPr>
          <w:rFonts w:hint="eastAsia" w:ascii="Times New Roman" w:hAnsi="Times New Roman" w:cs="Times New Roman" w:eastAsiaTheme="minorEastAsia"/>
          <w:szCs w:val="21"/>
          <w:highlight w:val="none"/>
          <w:lang w:eastAsia="zh-CN"/>
        </w:rPr>
        <w:t>0.</w:t>
      </w:r>
      <w:r>
        <w:rPr>
          <w:rFonts w:hint="eastAsia" w:ascii="Times New Roman" w:hAnsi="Times New Roman" w:cs="Times New Roman" w:eastAsiaTheme="minorEastAsia"/>
          <w:szCs w:val="21"/>
          <w:highlight w:val="none"/>
          <w:lang w:val="en-US" w:eastAsia="zh-CN"/>
        </w:rPr>
        <w:t>3</w:t>
      </w:r>
      <w:r>
        <w:rPr>
          <w:rFonts w:hint="eastAsia" w:ascii="Times New Roman" w:hAnsi="Times New Roman" w:cs="Times New Roman" w:eastAsiaTheme="minorEastAsia"/>
          <w:szCs w:val="21"/>
          <w:highlight w:val="none"/>
          <w:lang w:eastAsia="zh-CN"/>
        </w:rPr>
        <w:t>%</w:t>
      </w:r>
      <w:r>
        <w:rPr>
          <w:rFonts w:hint="eastAsia" w:ascii="宋体" w:hAnsi="宋体"/>
          <w:szCs w:val="21"/>
          <w:highlight w:val="none"/>
          <w:lang w:eastAsia="zh-CN"/>
        </w:rPr>
        <w:t>。送桩以后桩身垂直度偏差不易测量，故在送桩前应进行桩身垂直度测量。一般情况下，送桩前后的桩身垂直度不会有大的变化，但对于深基坑内的基桩，有时由于基坑土方开挖不当会引起桩身倾斜，在深基坑土方开挖过程中和开挖后，需再次测量桩身垂直度。</w:t>
      </w:r>
    </w:p>
    <w:p w14:paraId="4E261F46">
      <w:pPr>
        <w:spacing w:line="33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6.3.2</w:t>
      </w:r>
      <w:r>
        <w:rPr>
          <w:rFonts w:hint="eastAsia" w:ascii="Times New Roman" w:hAnsi="Times New Roman" w:cs="Times New Roman" w:eastAsiaTheme="minorEastAsia"/>
          <w:szCs w:val="21"/>
          <w:highlight w:val="none"/>
        </w:rPr>
        <w:t xml:space="preserve"> </w:t>
      </w:r>
      <w:r>
        <w:rPr>
          <w:rFonts w:hint="eastAsia" w:ascii="宋体" w:hAnsi="宋体"/>
          <w:szCs w:val="21"/>
          <w:highlight w:val="none"/>
          <w:lang w:eastAsia="zh-CN"/>
        </w:rPr>
        <w:t>明确规定施工记录的要求，施工记录内容包括施工桩长(入土深度)、配桩情况，每米锤击数等施工过程信息，收锤标准和终压标准等工程桩终止施工的情况，焊接接头的焊接情况，以及对施工过程中出现异常情况的记录。</w:t>
      </w:r>
    </w:p>
    <w:p w14:paraId="73F82D04">
      <w:pPr>
        <w:pStyle w:val="3"/>
        <w:spacing w:before="312" w:after="312"/>
        <w:rPr>
          <w:rFonts w:hint="default" w:ascii="黑体" w:hAnsi="黑体"/>
          <w:highlight w:val="none"/>
          <w:lang w:val="en-US"/>
        </w:rPr>
      </w:pPr>
      <w:bookmarkStart w:id="374" w:name="_Toc1763"/>
      <w:bookmarkStart w:id="375" w:name="_Toc31988"/>
      <w:bookmarkStart w:id="376" w:name="_Toc15785"/>
      <w:bookmarkStart w:id="377" w:name="_Toc24928"/>
      <w:bookmarkStart w:id="378" w:name="_Toc16430"/>
      <w:bookmarkStart w:id="379" w:name="_Toc22150"/>
      <w:bookmarkStart w:id="380" w:name="_Toc11602"/>
      <w:bookmarkStart w:id="381" w:name="_Toc10234"/>
      <w:bookmarkStart w:id="382" w:name="_6.4 施工后检测_1"/>
      <w:r>
        <w:rPr>
          <w:rFonts w:hint="eastAsia" w:ascii="Times New Roman" w:hAnsi="Times New Roman" w:cs="Times New Roman"/>
          <w:highlight w:val="none"/>
        </w:rPr>
        <w:t xml:space="preserve">6.4 </w:t>
      </w:r>
      <w:r>
        <w:rPr>
          <w:rFonts w:hint="eastAsia" w:ascii="黑体" w:hAnsi="黑体"/>
          <w:highlight w:val="none"/>
          <w:lang w:val="en-US" w:eastAsia="zh-CN"/>
        </w:rPr>
        <w:t>施工后</w:t>
      </w:r>
      <w:bookmarkEnd w:id="374"/>
      <w:bookmarkEnd w:id="375"/>
      <w:bookmarkEnd w:id="376"/>
      <w:bookmarkEnd w:id="377"/>
      <w:r>
        <w:rPr>
          <w:rFonts w:hint="eastAsia" w:ascii="黑体" w:hAnsi="黑体"/>
          <w:highlight w:val="none"/>
          <w:lang w:val="en-US" w:eastAsia="zh-CN"/>
        </w:rPr>
        <w:t>检测</w:t>
      </w:r>
      <w:bookmarkEnd w:id="378"/>
      <w:bookmarkEnd w:id="379"/>
      <w:bookmarkEnd w:id="380"/>
      <w:bookmarkEnd w:id="381"/>
    </w:p>
    <w:bookmarkEnd w:id="382"/>
    <w:p w14:paraId="6A1486AB">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6.4.2~6.4.3</w:t>
      </w:r>
      <w:r>
        <w:rPr>
          <w:rFonts w:hint="eastAsia" w:ascii="Times New Roman" w:hAnsi="Times New Roman" w:cs="Times New Roman" w:eastAsiaTheme="minorEastAsia"/>
          <w:szCs w:val="21"/>
          <w:highlight w:val="none"/>
        </w:rPr>
        <w:t xml:space="preserve"> </w:t>
      </w:r>
      <w:r>
        <w:rPr>
          <w:rFonts w:hint="eastAsia" w:ascii="宋体" w:hAnsi="宋体"/>
          <w:szCs w:val="21"/>
          <w:highlight w:val="none"/>
          <w:lang w:eastAsia="zh-CN"/>
        </w:rPr>
        <w:t>按国家现行标准《建筑地基基础设计规范》</w:t>
      </w:r>
      <w:r>
        <w:rPr>
          <w:rFonts w:hint="eastAsia" w:ascii="Times New Roman" w:hAnsi="Times New Roman" w:eastAsiaTheme="minorEastAsia"/>
          <w:szCs w:val="21"/>
          <w:highlight w:val="none"/>
          <w:lang w:eastAsia="zh-CN"/>
        </w:rPr>
        <w:t>GB 50007</w:t>
      </w:r>
      <w:r>
        <w:rPr>
          <w:rFonts w:hint="eastAsia" w:ascii="宋体" w:hAnsi="宋体"/>
          <w:szCs w:val="21"/>
          <w:highlight w:val="none"/>
          <w:lang w:eastAsia="zh-CN"/>
        </w:rPr>
        <w:t>、《建筑地基基础工程施工质量验收规范》</w:t>
      </w:r>
      <w:r>
        <w:rPr>
          <w:rFonts w:hint="eastAsia" w:ascii="Times New Roman" w:hAnsi="Times New Roman" w:eastAsiaTheme="minorEastAsia"/>
          <w:szCs w:val="21"/>
          <w:highlight w:val="none"/>
          <w:lang w:eastAsia="zh-CN"/>
        </w:rPr>
        <w:t>GB 50202</w:t>
      </w:r>
      <w:r>
        <w:rPr>
          <w:rFonts w:hint="eastAsia" w:ascii="宋体" w:hAnsi="宋体"/>
          <w:szCs w:val="21"/>
          <w:highlight w:val="none"/>
          <w:lang w:eastAsia="zh-CN"/>
        </w:rPr>
        <w:t>、《建筑基桩检测技术规范》</w:t>
      </w:r>
      <w:r>
        <w:rPr>
          <w:rFonts w:hint="default" w:ascii="Times New Roman" w:hAnsi="Times New Roman" w:eastAsiaTheme="minorEastAsia"/>
          <w:szCs w:val="21"/>
          <w:highlight w:val="none"/>
        </w:rPr>
        <w:t>JGJ</w:t>
      </w:r>
      <w:r>
        <w:rPr>
          <w:rFonts w:hint="eastAsia" w:ascii="Times New Roman" w:hAnsi="Times New Roman" w:eastAsiaTheme="minorEastAsia"/>
          <w:szCs w:val="21"/>
          <w:highlight w:val="none"/>
          <w:lang w:val="en-US" w:eastAsia="zh-CN"/>
        </w:rPr>
        <w:t xml:space="preserve"> </w:t>
      </w:r>
      <w:r>
        <w:rPr>
          <w:rFonts w:hint="eastAsia" w:ascii="Times New Roman" w:hAnsi="Times New Roman" w:eastAsiaTheme="minorEastAsia"/>
          <w:szCs w:val="21"/>
          <w:highlight w:val="none"/>
          <w:lang w:eastAsia="zh-CN"/>
        </w:rPr>
        <w:t>106</w:t>
      </w:r>
      <w:r>
        <w:rPr>
          <w:rFonts w:hint="eastAsia" w:ascii="宋体" w:hAnsi="宋体"/>
          <w:szCs w:val="21"/>
          <w:highlight w:val="none"/>
          <w:lang w:eastAsia="zh-CN"/>
        </w:rPr>
        <w:t>的有关规定，应对施工完成后的工程</w:t>
      </w:r>
      <w:r>
        <w:rPr>
          <w:rFonts w:hint="eastAsia" w:ascii="宋体" w:hAnsi="宋体"/>
          <w:szCs w:val="21"/>
          <w:highlight w:val="none"/>
          <w:lang w:val="en-US" w:eastAsia="zh-CN"/>
        </w:rPr>
        <w:t>桩</w:t>
      </w:r>
      <w:r>
        <w:rPr>
          <w:rFonts w:hint="eastAsia" w:ascii="宋体" w:hAnsi="宋体"/>
          <w:szCs w:val="21"/>
          <w:highlight w:val="none"/>
          <w:lang w:eastAsia="zh-CN"/>
        </w:rPr>
        <w:t>进行</w:t>
      </w:r>
      <w:r>
        <w:rPr>
          <w:rFonts w:hint="eastAsia" w:ascii="宋体" w:hAnsi="宋体"/>
          <w:szCs w:val="21"/>
          <w:highlight w:val="none"/>
          <w:lang w:val="en-US" w:eastAsia="zh-CN"/>
        </w:rPr>
        <w:t>桩</w:t>
      </w:r>
      <w:r>
        <w:rPr>
          <w:rFonts w:hint="eastAsia" w:ascii="宋体" w:hAnsi="宋体"/>
          <w:szCs w:val="21"/>
          <w:highlight w:val="none"/>
          <w:lang w:eastAsia="zh-CN"/>
        </w:rPr>
        <w:t>身完整性和竖向承载力</w:t>
      </w:r>
      <w:r>
        <w:rPr>
          <w:rFonts w:hint="eastAsia" w:ascii="宋体" w:hAnsi="宋体"/>
          <w:szCs w:val="21"/>
          <w:highlight w:val="none"/>
          <w:lang w:val="en-US" w:eastAsia="zh-CN"/>
        </w:rPr>
        <w:t>检测</w:t>
      </w:r>
      <w:r>
        <w:rPr>
          <w:rFonts w:hint="eastAsia" w:ascii="宋体" w:hAnsi="宋体"/>
          <w:szCs w:val="21"/>
          <w:highlight w:val="none"/>
          <w:lang w:eastAsia="zh-CN"/>
        </w:rPr>
        <w:t>。</w:t>
      </w:r>
    </w:p>
    <w:p w14:paraId="46A67A79">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szCs w:val="21"/>
          <w:highlight w:val="none"/>
          <w:lang w:eastAsia="zh-CN"/>
        </w:rPr>
      </w:pPr>
      <w:r>
        <w:rPr>
          <w:rFonts w:hint="eastAsia" w:ascii="宋体" w:hAnsi="宋体"/>
          <w:szCs w:val="21"/>
          <w:highlight w:val="none"/>
          <w:lang w:eastAsia="zh-CN"/>
        </w:rPr>
        <w:t>桩身完整性与基</w:t>
      </w:r>
      <w:r>
        <w:rPr>
          <w:rFonts w:hint="eastAsia" w:ascii="宋体" w:hAnsi="宋体"/>
          <w:szCs w:val="21"/>
          <w:highlight w:val="none"/>
          <w:lang w:val="en-US" w:eastAsia="zh-CN"/>
        </w:rPr>
        <w:t>桩</w:t>
      </w:r>
      <w:r>
        <w:rPr>
          <w:rFonts w:hint="eastAsia" w:ascii="宋体" w:hAnsi="宋体"/>
          <w:szCs w:val="21"/>
          <w:highlight w:val="none"/>
          <w:lang w:eastAsia="zh-CN"/>
        </w:rPr>
        <w:t>承载力密切相关，桩身完整性有时会严重影响基桩承载力，桩身完整性检测抽样率较高，费用较低，通过检测可减少桩基安全隐患，并可为判定基桩承载力提供参考。</w:t>
      </w:r>
    </w:p>
    <w:p w14:paraId="204EAD7F">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szCs w:val="21"/>
          <w:highlight w:val="none"/>
          <w:lang w:eastAsia="zh-CN"/>
        </w:rPr>
      </w:pPr>
      <w:r>
        <w:rPr>
          <w:rFonts w:hint="eastAsia" w:ascii="宋体" w:hAnsi="宋体"/>
          <w:szCs w:val="21"/>
          <w:highlight w:val="none"/>
          <w:lang w:eastAsia="zh-CN"/>
        </w:rPr>
        <w:t>桩身完整性</w:t>
      </w:r>
      <w:r>
        <w:rPr>
          <w:rFonts w:hint="eastAsia" w:ascii="宋体" w:hAnsi="宋体"/>
          <w:szCs w:val="21"/>
          <w:highlight w:val="none"/>
          <w:lang w:val="en-US" w:eastAsia="zh-CN"/>
        </w:rPr>
        <w:t>检测</w:t>
      </w:r>
      <w:r>
        <w:rPr>
          <w:rFonts w:hint="eastAsia" w:ascii="宋体" w:hAnsi="宋体"/>
          <w:szCs w:val="21"/>
          <w:highlight w:val="none"/>
          <w:lang w:eastAsia="zh-CN"/>
        </w:rPr>
        <w:t>应采用现行行业标准《建筑基桩检测技术规范》</w:t>
      </w:r>
      <w:r>
        <w:rPr>
          <w:rFonts w:hint="eastAsia" w:ascii="Times New Roman" w:hAnsi="Times New Roman" w:cs="Times New Roman" w:eastAsiaTheme="minorEastAsia"/>
          <w:szCs w:val="21"/>
          <w:highlight w:val="none"/>
          <w:lang w:eastAsia="zh-CN"/>
        </w:rPr>
        <w:t>JGJ</w:t>
      </w:r>
      <w:r>
        <w:rPr>
          <w:rFonts w:hint="eastAsia" w:ascii="Times New Roman" w:hAnsi="Times New Roman" w:cs="Times New Roman" w:eastAsiaTheme="minorEastAsia"/>
          <w:szCs w:val="21"/>
          <w:highlight w:val="none"/>
          <w:lang w:val="en-US" w:eastAsia="zh-CN"/>
        </w:rPr>
        <w:t xml:space="preserve"> </w:t>
      </w:r>
      <w:r>
        <w:rPr>
          <w:rFonts w:hint="eastAsia" w:ascii="Times New Roman" w:hAnsi="Times New Roman" w:cs="Times New Roman" w:eastAsiaTheme="minorEastAsia"/>
          <w:szCs w:val="21"/>
          <w:highlight w:val="none"/>
          <w:lang w:eastAsia="zh-CN"/>
        </w:rPr>
        <w:t>106</w:t>
      </w:r>
      <w:r>
        <w:rPr>
          <w:rFonts w:hint="eastAsia" w:ascii="宋体" w:hAnsi="宋体"/>
          <w:szCs w:val="21"/>
          <w:highlight w:val="none"/>
          <w:lang w:eastAsia="zh-CN"/>
        </w:rPr>
        <w:t>中的低应变法。现场检测时，可分别对水泥土或固化土（</w:t>
      </w:r>
      <w:r>
        <w:rPr>
          <w:rFonts w:hint="eastAsia" w:ascii="宋体" w:hAnsi="宋体"/>
          <w:szCs w:val="21"/>
          <w:highlight w:val="none"/>
          <w:lang w:val="en-US" w:eastAsia="zh-CN"/>
        </w:rPr>
        <w:t>水泥砂浆或混凝土</w:t>
      </w:r>
      <w:r>
        <w:rPr>
          <w:rFonts w:hint="eastAsia" w:ascii="宋体" w:hAnsi="宋体"/>
          <w:szCs w:val="21"/>
          <w:highlight w:val="none"/>
          <w:lang w:eastAsia="zh-CN"/>
        </w:rPr>
        <w:t>）、</w:t>
      </w:r>
      <w:r>
        <w:rPr>
          <w:rFonts w:hint="eastAsia" w:ascii="宋体" w:hAnsi="宋体"/>
          <w:szCs w:val="21"/>
          <w:highlight w:val="none"/>
          <w:lang w:val="en-US" w:eastAsia="zh-CN"/>
        </w:rPr>
        <w:t>预制</w:t>
      </w:r>
      <w:r>
        <w:rPr>
          <w:rFonts w:hint="eastAsia" w:ascii="宋体" w:hAnsi="宋体"/>
          <w:szCs w:val="21"/>
          <w:highlight w:val="none"/>
          <w:lang w:eastAsia="zh-CN"/>
        </w:rPr>
        <w:t>桩部分进行低应变检测，</w:t>
      </w:r>
      <w:r>
        <w:rPr>
          <w:rFonts w:hint="eastAsia" w:ascii="宋体" w:hAnsi="宋体"/>
          <w:szCs w:val="21"/>
          <w:highlight w:val="none"/>
          <w:lang w:val="en-US" w:eastAsia="zh-CN"/>
        </w:rPr>
        <w:t>预制桩植桩</w:t>
      </w:r>
      <w:r>
        <w:rPr>
          <w:rFonts w:hint="eastAsia" w:ascii="宋体" w:hAnsi="宋体"/>
          <w:szCs w:val="21"/>
          <w:highlight w:val="none"/>
          <w:lang w:eastAsia="zh-CN"/>
        </w:rPr>
        <w:t>的桩身完整性类别判定主要受</w:t>
      </w:r>
      <w:r>
        <w:rPr>
          <w:rFonts w:hint="eastAsia" w:ascii="宋体" w:hAnsi="宋体"/>
          <w:szCs w:val="21"/>
          <w:highlight w:val="none"/>
          <w:lang w:val="en-US" w:eastAsia="zh-CN"/>
        </w:rPr>
        <w:t>预制桩</w:t>
      </w:r>
      <w:r>
        <w:rPr>
          <w:rFonts w:hint="eastAsia" w:ascii="宋体" w:hAnsi="宋体"/>
          <w:szCs w:val="21"/>
          <w:highlight w:val="none"/>
          <w:lang w:eastAsia="zh-CN"/>
        </w:rPr>
        <w:t>的桩身完整性控制。有条件时，可采用孔内摄像法对</w:t>
      </w:r>
      <w:r>
        <w:rPr>
          <w:rFonts w:hint="eastAsia" w:ascii="宋体" w:hAnsi="宋体"/>
          <w:szCs w:val="21"/>
          <w:highlight w:val="none"/>
          <w:lang w:val="en-US" w:eastAsia="zh-CN"/>
        </w:rPr>
        <w:t>预制</w:t>
      </w:r>
      <w:r>
        <w:rPr>
          <w:rFonts w:hint="eastAsia" w:ascii="宋体" w:hAnsi="宋体"/>
          <w:szCs w:val="21"/>
          <w:highlight w:val="none"/>
          <w:lang w:eastAsia="zh-CN"/>
        </w:rPr>
        <w:t>桩部分的桩身完整性进行检测。</w:t>
      </w:r>
    </w:p>
    <w:p w14:paraId="06C1A3D4">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6.4.4</w:t>
      </w:r>
      <w:r>
        <w:rPr>
          <w:rFonts w:hint="eastAsia" w:ascii="宋体" w:hAnsi="宋体"/>
          <w:b/>
          <w:bCs/>
          <w:szCs w:val="21"/>
          <w:highlight w:val="none"/>
        </w:rPr>
        <w:t xml:space="preserve"> </w:t>
      </w:r>
      <w:r>
        <w:rPr>
          <w:rFonts w:hint="eastAsia" w:ascii="宋体" w:hAnsi="宋体"/>
          <w:szCs w:val="21"/>
          <w:highlight w:val="none"/>
          <w:lang w:val="en-US" w:eastAsia="zh-CN"/>
        </w:rPr>
        <w:t>预制桩植桩</w:t>
      </w:r>
      <w:r>
        <w:rPr>
          <w:rFonts w:hint="eastAsia" w:ascii="宋体" w:hAnsi="宋体"/>
          <w:szCs w:val="21"/>
          <w:highlight w:val="none"/>
          <w:lang w:eastAsia="zh-CN"/>
        </w:rPr>
        <w:t>与承台采用本规</w:t>
      </w:r>
      <w:r>
        <w:rPr>
          <w:rFonts w:hint="eastAsia" w:ascii="宋体" w:hAnsi="宋体"/>
          <w:szCs w:val="21"/>
          <w:highlight w:val="none"/>
          <w:lang w:val="en-US" w:eastAsia="zh-CN"/>
        </w:rPr>
        <w:t>范</w:t>
      </w:r>
      <w:r>
        <w:rPr>
          <w:rFonts w:hint="eastAsia" w:ascii="宋体" w:hAnsi="宋体"/>
          <w:szCs w:val="21"/>
          <w:highlight w:val="none"/>
          <w:lang w:eastAsia="zh-CN"/>
        </w:rPr>
        <w:t>规定的方式连接时，相当于水平荷载施加在</w:t>
      </w:r>
      <w:r>
        <w:rPr>
          <w:rFonts w:hint="eastAsia" w:ascii="宋体" w:hAnsi="宋体"/>
          <w:szCs w:val="21"/>
          <w:highlight w:val="none"/>
          <w:lang w:val="en-US" w:eastAsia="zh-CN"/>
        </w:rPr>
        <w:t>预制</w:t>
      </w:r>
      <w:r>
        <w:rPr>
          <w:rFonts w:hint="eastAsia" w:ascii="宋体" w:hAnsi="宋体"/>
          <w:szCs w:val="21"/>
          <w:highlight w:val="none"/>
          <w:lang w:eastAsia="zh-CN"/>
        </w:rPr>
        <w:t>桩上，因此</w:t>
      </w:r>
      <w:r>
        <w:rPr>
          <w:rFonts w:hint="eastAsia" w:ascii="宋体" w:hAnsi="宋体"/>
          <w:szCs w:val="21"/>
          <w:highlight w:val="none"/>
          <w:lang w:val="en-US" w:eastAsia="zh-CN"/>
        </w:rPr>
        <w:t>预制桩植桩</w:t>
      </w:r>
      <w:r>
        <w:rPr>
          <w:rFonts w:hint="eastAsia" w:ascii="宋体" w:hAnsi="宋体"/>
          <w:szCs w:val="21"/>
          <w:highlight w:val="none"/>
          <w:lang w:eastAsia="zh-CN"/>
        </w:rPr>
        <w:t>单桩水平静载试验时，水平荷载应施加在</w:t>
      </w:r>
      <w:r>
        <w:rPr>
          <w:rFonts w:hint="eastAsia" w:ascii="宋体" w:hAnsi="宋体"/>
          <w:szCs w:val="21"/>
          <w:highlight w:val="none"/>
          <w:lang w:val="en-US" w:eastAsia="zh-CN"/>
        </w:rPr>
        <w:t>预制</w:t>
      </w:r>
      <w:r>
        <w:rPr>
          <w:rFonts w:hint="eastAsia" w:ascii="宋体" w:hAnsi="宋体"/>
          <w:szCs w:val="21"/>
          <w:highlight w:val="none"/>
          <w:lang w:eastAsia="zh-CN"/>
        </w:rPr>
        <w:t>桩上。</w:t>
      </w:r>
    </w:p>
    <w:p w14:paraId="482D1DF9">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szCs w:val="21"/>
          <w:highlight w:val="none"/>
          <w:lang w:eastAsia="zh-CN"/>
        </w:rPr>
      </w:pPr>
      <w:r>
        <w:rPr>
          <w:rFonts w:hint="eastAsia" w:ascii="宋体" w:hAnsi="宋体"/>
          <w:szCs w:val="21"/>
          <w:highlight w:val="none"/>
          <w:lang w:val="en-US" w:eastAsia="zh-CN"/>
        </w:rPr>
        <w:t>预制桩植桩</w:t>
      </w:r>
      <w:r>
        <w:rPr>
          <w:rFonts w:hint="eastAsia" w:ascii="宋体" w:hAnsi="宋体"/>
          <w:szCs w:val="21"/>
          <w:highlight w:val="none"/>
          <w:lang w:eastAsia="zh-CN"/>
        </w:rPr>
        <w:t>是一种新桩型，为偏于安全，根据本</w:t>
      </w:r>
      <w:r>
        <w:rPr>
          <w:rFonts w:hint="eastAsia" w:ascii="宋体" w:hAnsi="宋体"/>
          <w:szCs w:val="21"/>
          <w:highlight w:val="none"/>
          <w:lang w:val="en-US" w:eastAsia="zh-CN"/>
        </w:rPr>
        <w:t>规范规定</w:t>
      </w:r>
      <w:r>
        <w:rPr>
          <w:rFonts w:hint="eastAsia" w:ascii="宋体" w:hAnsi="宋体"/>
          <w:szCs w:val="21"/>
          <w:highlight w:val="none"/>
          <w:lang w:eastAsia="zh-CN"/>
        </w:rPr>
        <w:t>，单桩水平承载力特征值应同时满足不大于水平临界荷载的</w:t>
      </w:r>
      <w:r>
        <w:rPr>
          <w:rFonts w:hint="eastAsia" w:ascii="Times New Roman" w:hAnsi="Times New Roman" w:cs="Times New Roman" w:eastAsiaTheme="minorEastAsia"/>
          <w:szCs w:val="21"/>
          <w:highlight w:val="none"/>
          <w:lang w:eastAsia="zh-CN"/>
        </w:rPr>
        <w:t>0</w:t>
      </w:r>
      <w:r>
        <w:rPr>
          <w:rFonts w:hint="eastAsia" w:ascii="Times New Roman" w:hAnsi="Times New Roman" w:cs="Times New Roman" w:eastAsiaTheme="minorEastAsia"/>
          <w:szCs w:val="21"/>
          <w:highlight w:val="none"/>
          <w:lang w:val="en-US" w:eastAsia="zh-CN"/>
        </w:rPr>
        <w:t>.</w:t>
      </w:r>
      <w:r>
        <w:rPr>
          <w:rFonts w:hint="eastAsia" w:ascii="Times New Roman" w:hAnsi="Times New Roman" w:cs="Times New Roman" w:eastAsiaTheme="minorEastAsia"/>
          <w:szCs w:val="21"/>
          <w:highlight w:val="none"/>
          <w:lang w:eastAsia="zh-CN"/>
        </w:rPr>
        <w:t>6</w:t>
      </w:r>
      <w:r>
        <w:rPr>
          <w:rFonts w:hint="eastAsia" w:ascii="宋体" w:hAnsi="宋体"/>
          <w:szCs w:val="21"/>
          <w:highlight w:val="none"/>
          <w:lang w:eastAsia="zh-CN"/>
        </w:rPr>
        <w:t>倍与水平极限承载力的</w:t>
      </w:r>
      <w:r>
        <w:rPr>
          <w:rFonts w:hint="eastAsia" w:ascii="Times New Roman" w:hAnsi="Times New Roman" w:cs="Times New Roman" w:eastAsiaTheme="minorEastAsia"/>
          <w:szCs w:val="21"/>
          <w:highlight w:val="none"/>
          <w:lang w:eastAsia="zh-CN"/>
        </w:rPr>
        <w:t>50%</w:t>
      </w:r>
      <w:r>
        <w:rPr>
          <w:rFonts w:hint="eastAsia" w:ascii="宋体" w:hAnsi="宋体"/>
          <w:szCs w:val="21"/>
          <w:highlight w:val="none"/>
          <w:lang w:eastAsia="zh-CN"/>
        </w:rPr>
        <w:t>两个条件。</w:t>
      </w:r>
    </w:p>
    <w:p w14:paraId="0072EF94">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6.4.5</w:t>
      </w:r>
      <w:r>
        <w:rPr>
          <w:rFonts w:hint="eastAsia" w:ascii="Times New Roman" w:hAnsi="Times New Roman" w:cs="Times New Roman" w:eastAsiaTheme="minorEastAsia"/>
          <w:szCs w:val="21"/>
          <w:highlight w:val="none"/>
        </w:rPr>
        <w:t xml:space="preserve"> </w:t>
      </w:r>
      <w:r>
        <w:rPr>
          <w:rFonts w:hint="eastAsia" w:ascii="宋体" w:hAnsi="宋体"/>
          <w:szCs w:val="21"/>
          <w:highlight w:val="none"/>
          <w:lang w:val="en-US" w:eastAsia="zh-CN"/>
        </w:rPr>
        <w:t>预制桩植桩</w:t>
      </w:r>
      <w:r>
        <w:rPr>
          <w:rFonts w:hint="eastAsia" w:ascii="宋体" w:hAnsi="宋体"/>
          <w:szCs w:val="21"/>
          <w:highlight w:val="none"/>
          <w:lang w:eastAsia="zh-CN"/>
        </w:rPr>
        <w:t>进行单桩竖向抗拔静载试验时可采用</w:t>
      </w:r>
      <w:r>
        <w:rPr>
          <w:rFonts w:hint="eastAsia" w:ascii="宋体" w:hAnsi="宋体"/>
          <w:szCs w:val="21"/>
          <w:highlight w:val="none"/>
          <w:lang w:val="en-US" w:eastAsia="zh-CN"/>
        </w:rPr>
        <w:t>预制</w:t>
      </w:r>
      <w:r>
        <w:rPr>
          <w:rFonts w:hint="eastAsia" w:ascii="宋体" w:hAnsi="宋体"/>
          <w:szCs w:val="21"/>
          <w:highlight w:val="none"/>
          <w:lang w:eastAsia="zh-CN"/>
        </w:rPr>
        <w:t>桩内灌注填芯混凝土并预埋通长抗拔钢筋、</w:t>
      </w:r>
      <w:r>
        <w:rPr>
          <w:rFonts w:hint="eastAsia" w:ascii="宋体" w:hAnsi="宋体"/>
          <w:szCs w:val="21"/>
          <w:highlight w:val="none"/>
          <w:lang w:val="en-US" w:eastAsia="zh-CN"/>
        </w:rPr>
        <w:t>预制</w:t>
      </w:r>
      <w:r>
        <w:rPr>
          <w:rFonts w:hint="eastAsia" w:ascii="宋体" w:hAnsi="宋体"/>
          <w:szCs w:val="21"/>
          <w:highlight w:val="none"/>
          <w:lang w:eastAsia="zh-CN"/>
        </w:rPr>
        <w:t>桩</w:t>
      </w:r>
      <w:r>
        <w:rPr>
          <w:rFonts w:hint="eastAsia" w:ascii="宋体" w:hAnsi="宋体"/>
          <w:szCs w:val="21"/>
          <w:highlight w:val="none"/>
          <w:lang w:val="en-US" w:eastAsia="zh-CN"/>
        </w:rPr>
        <w:t>顶</w:t>
      </w:r>
      <w:r>
        <w:rPr>
          <w:rFonts w:hint="eastAsia" w:ascii="宋体" w:hAnsi="宋体"/>
          <w:szCs w:val="21"/>
          <w:highlight w:val="none"/>
          <w:lang w:eastAsia="zh-CN"/>
        </w:rPr>
        <w:t>端固定抗拔钢筋 （</w:t>
      </w:r>
      <w:r>
        <w:rPr>
          <w:rFonts w:hint="eastAsia" w:ascii="宋体" w:hAnsi="宋体"/>
          <w:szCs w:val="21"/>
          <w:highlight w:val="none"/>
          <w:lang w:val="en-US" w:eastAsia="zh-CN"/>
        </w:rPr>
        <w:t>固定</w:t>
      </w:r>
      <w:r>
        <w:rPr>
          <w:rFonts w:hint="eastAsia" w:ascii="宋体" w:hAnsi="宋体"/>
          <w:szCs w:val="21"/>
          <w:highlight w:val="none"/>
          <w:lang w:eastAsia="zh-CN"/>
        </w:rPr>
        <w:t>于端板或</w:t>
      </w:r>
      <w:r>
        <w:rPr>
          <w:rFonts w:hint="eastAsia" w:ascii="宋体" w:hAnsi="宋体"/>
          <w:szCs w:val="21"/>
          <w:highlight w:val="none"/>
          <w:lang w:val="en-US" w:eastAsia="zh-CN"/>
        </w:rPr>
        <w:t>焊接于桩身纵向钢筋</w:t>
      </w:r>
      <w:r>
        <w:rPr>
          <w:rFonts w:hint="eastAsia" w:ascii="宋体" w:hAnsi="宋体"/>
          <w:szCs w:val="21"/>
          <w:highlight w:val="none"/>
          <w:lang w:eastAsia="zh-CN"/>
        </w:rPr>
        <w:t>）等方法传递拔力。抗拔钢筋种类与数量应通过计算确定。</w:t>
      </w:r>
    </w:p>
    <w:p w14:paraId="3C84EC4F">
      <w:pPr>
        <w:spacing w:line="340"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6.4.6</w:t>
      </w:r>
      <w:r>
        <w:rPr>
          <w:rFonts w:hint="eastAsia" w:ascii="Times New Roman" w:hAnsi="Times New Roman" w:cs="Times New Roman" w:eastAsiaTheme="minorEastAsia"/>
          <w:szCs w:val="21"/>
          <w:highlight w:val="none"/>
        </w:rPr>
        <w:t xml:space="preserve"> </w:t>
      </w:r>
      <w:r>
        <w:rPr>
          <w:rFonts w:hint="eastAsia" w:ascii="宋体" w:hAnsi="宋体"/>
          <w:szCs w:val="21"/>
          <w:highlight w:val="none"/>
          <w:lang w:eastAsia="zh-CN"/>
        </w:rPr>
        <w:t>桩基工程受季节气候、周边环境或工期紧的影响，往往不允许等到全部工程桩施工完并都达到28d龄期强度后再开始检测。为做到信息化施工，尽早发现桩的施工质量问题并及时处理，同时考虑到</w:t>
      </w:r>
      <w:r>
        <w:rPr>
          <w:rFonts w:hint="eastAsia" w:ascii="宋体" w:hAnsi="宋体"/>
          <w:szCs w:val="21"/>
          <w:highlight w:val="none"/>
          <w:lang w:val="en-US" w:eastAsia="zh-CN"/>
        </w:rPr>
        <w:t>各检测方法本身的检测内容及检测要求</w:t>
      </w:r>
      <w:r>
        <w:rPr>
          <w:rFonts w:hint="eastAsia" w:ascii="宋体" w:hAnsi="宋体"/>
          <w:szCs w:val="21"/>
          <w:highlight w:val="none"/>
          <w:lang w:eastAsia="zh-CN"/>
        </w:rPr>
        <w:t>，</w:t>
      </w:r>
      <w:r>
        <w:rPr>
          <w:rFonts w:hint="eastAsia" w:ascii="宋体" w:hAnsi="宋体"/>
          <w:szCs w:val="21"/>
          <w:highlight w:val="none"/>
          <w:lang w:val="en-US" w:eastAsia="zh-CN"/>
        </w:rPr>
        <w:t>可</w:t>
      </w:r>
      <w:r>
        <w:rPr>
          <w:rFonts w:hint="eastAsia" w:ascii="宋体" w:hAnsi="宋体"/>
          <w:szCs w:val="21"/>
          <w:highlight w:val="none"/>
          <w:lang w:eastAsia="zh-CN"/>
        </w:rPr>
        <w:t>对混凝土强度的要求可适当放宽。</w:t>
      </w:r>
    </w:p>
    <w:p w14:paraId="3438321B">
      <w:pPr>
        <w:pStyle w:val="3"/>
        <w:spacing w:before="312" w:after="312"/>
        <w:rPr>
          <w:rFonts w:ascii="黑体" w:hAnsi="黑体"/>
          <w:highlight w:val="none"/>
        </w:rPr>
      </w:pPr>
      <w:bookmarkStart w:id="383" w:name="_Toc18243"/>
      <w:bookmarkStart w:id="384" w:name="_Toc1972"/>
      <w:bookmarkStart w:id="385" w:name="_Toc15404"/>
      <w:bookmarkStart w:id="386" w:name="_Toc31217"/>
      <w:bookmarkStart w:id="387" w:name="_Toc12959"/>
      <w:bookmarkStart w:id="388" w:name="_Toc19484"/>
      <w:bookmarkStart w:id="389" w:name="_Toc4995"/>
      <w:bookmarkStart w:id="390" w:name="_Toc14623"/>
      <w:bookmarkStart w:id="391" w:name="_6.5 工程验收_1"/>
      <w:r>
        <w:rPr>
          <w:rFonts w:hint="default" w:ascii="Times New Roman" w:hAnsi="Times New Roman" w:cs="Times New Roman"/>
          <w:highlight w:val="none"/>
        </w:rPr>
        <w:t xml:space="preserve">6.5 </w:t>
      </w:r>
      <w:r>
        <w:rPr>
          <w:rFonts w:hint="eastAsia" w:ascii="黑体" w:hAnsi="黑体"/>
          <w:highlight w:val="none"/>
          <w:lang w:val="en-US" w:eastAsia="zh-CN"/>
        </w:rPr>
        <w:t>验收</w:t>
      </w:r>
      <w:bookmarkEnd w:id="383"/>
      <w:bookmarkEnd w:id="384"/>
      <w:bookmarkEnd w:id="385"/>
      <w:bookmarkEnd w:id="386"/>
      <w:bookmarkEnd w:id="387"/>
      <w:bookmarkEnd w:id="388"/>
      <w:bookmarkEnd w:id="389"/>
      <w:bookmarkEnd w:id="390"/>
    </w:p>
    <w:bookmarkEnd w:id="391"/>
    <w:p w14:paraId="4E58515F">
      <w:pPr>
        <w:spacing w:line="312" w:lineRule="exact"/>
        <w:rPr>
          <w:rFonts w:hint="eastAsia" w:ascii="宋体" w:hAnsi="宋体"/>
          <w:szCs w:val="21"/>
          <w:highlight w:val="none"/>
          <w:lang w:eastAsia="zh-CN"/>
        </w:rPr>
      </w:pPr>
      <w:r>
        <w:rPr>
          <w:rFonts w:hint="eastAsia" w:ascii="Times New Roman" w:hAnsi="Times New Roman" w:cs="Times New Roman" w:eastAsiaTheme="minorEastAsia"/>
          <w:b/>
          <w:bCs/>
          <w:szCs w:val="21"/>
          <w:highlight w:val="none"/>
          <w:lang w:val="en-US" w:eastAsia="zh-CN"/>
        </w:rPr>
        <w:t>6.5.1~6.5.2</w:t>
      </w:r>
      <w:r>
        <w:rPr>
          <w:rFonts w:hint="eastAsia" w:ascii="宋体" w:hAnsi="宋体"/>
          <w:szCs w:val="21"/>
          <w:highlight w:val="none"/>
        </w:rPr>
        <w:t xml:space="preserve"> </w:t>
      </w:r>
      <w:r>
        <w:rPr>
          <w:rFonts w:hint="eastAsia" w:ascii="宋体" w:hAnsi="宋体"/>
          <w:szCs w:val="21"/>
          <w:highlight w:val="none"/>
          <w:lang w:eastAsia="zh-CN"/>
        </w:rPr>
        <w:t>工程验收除应符合本</w:t>
      </w:r>
      <w:r>
        <w:rPr>
          <w:rFonts w:hint="eastAsia" w:ascii="宋体" w:hAnsi="宋体"/>
          <w:szCs w:val="21"/>
          <w:highlight w:val="none"/>
          <w:lang w:val="en-US" w:eastAsia="zh-CN"/>
        </w:rPr>
        <w:t>规范的</w:t>
      </w:r>
      <w:r>
        <w:rPr>
          <w:rFonts w:hint="eastAsia" w:ascii="宋体" w:hAnsi="宋体"/>
          <w:szCs w:val="21"/>
          <w:highlight w:val="none"/>
          <w:lang w:eastAsia="zh-CN"/>
        </w:rPr>
        <w:t>有关规定外，尚应符合当地主管部门关于工程验收及国家现行标准《建筑地基基础工程施工质量验收规范》</w:t>
      </w:r>
      <w:r>
        <w:rPr>
          <w:rFonts w:hint="eastAsia" w:ascii="Times New Roman" w:hAnsi="Times New Roman" w:cs="Times New Roman" w:eastAsiaTheme="minorEastAsia"/>
          <w:szCs w:val="21"/>
          <w:highlight w:val="none"/>
          <w:lang w:eastAsia="zh-CN"/>
        </w:rPr>
        <w:t>GB 50202</w:t>
      </w:r>
      <w:r>
        <w:rPr>
          <w:rFonts w:hint="eastAsia" w:ascii="宋体" w:hAnsi="宋体"/>
          <w:szCs w:val="21"/>
          <w:highlight w:val="none"/>
          <w:lang w:eastAsia="zh-CN"/>
        </w:rPr>
        <w:t>、《建筑桩基技术规范》</w:t>
      </w:r>
      <w:r>
        <w:rPr>
          <w:rFonts w:hint="eastAsia" w:ascii="Times New Roman" w:hAnsi="Times New Roman" w:eastAsiaTheme="minorEastAsia"/>
          <w:szCs w:val="21"/>
          <w:highlight w:val="none"/>
          <w:lang w:eastAsia="zh-CN"/>
        </w:rPr>
        <w:t>J</w:t>
      </w:r>
      <w:r>
        <w:rPr>
          <w:rFonts w:hint="eastAsia" w:ascii="Times New Roman" w:hAnsi="Times New Roman" w:cs="Times New Roman" w:eastAsiaTheme="minorEastAsia"/>
          <w:szCs w:val="21"/>
          <w:highlight w:val="none"/>
          <w:lang w:eastAsia="zh-CN"/>
        </w:rPr>
        <w:t>GJ</w:t>
      </w:r>
      <w:r>
        <w:rPr>
          <w:rFonts w:hint="eastAsia" w:ascii="Times New Roman" w:hAnsi="Times New Roman" w:cs="Times New Roman" w:eastAsiaTheme="minorEastAsia"/>
          <w:szCs w:val="21"/>
          <w:highlight w:val="none"/>
          <w:lang w:val="en-US" w:eastAsia="zh-CN"/>
        </w:rPr>
        <w:t xml:space="preserve"> </w:t>
      </w:r>
      <w:r>
        <w:rPr>
          <w:rFonts w:hint="eastAsia" w:ascii="Times New Roman" w:hAnsi="Times New Roman" w:cs="Times New Roman" w:eastAsiaTheme="minorEastAsia"/>
          <w:szCs w:val="21"/>
          <w:highlight w:val="none"/>
          <w:lang w:eastAsia="zh-CN"/>
        </w:rPr>
        <w:t>94</w:t>
      </w:r>
      <w:r>
        <w:rPr>
          <w:rFonts w:hint="eastAsia" w:ascii="宋体" w:hAnsi="宋体"/>
          <w:szCs w:val="21"/>
          <w:highlight w:val="none"/>
          <w:lang w:eastAsia="zh-CN"/>
        </w:rPr>
        <w:t>的有关规定。</w:t>
      </w:r>
    </w:p>
    <w:sectPr>
      <w:footerReference r:id="rId7" w:type="default"/>
      <w:pgSz w:w="7938" w:h="11510"/>
      <w:pgMar w:top="1418" w:right="1021" w:bottom="1134" w:left="1021" w:header="851" w:footer="851"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简体">
    <w:altName w:val="黑体"/>
    <w:panose1 w:val="00000000000000000000"/>
    <w:charset w:val="86"/>
    <w:family w:val="script"/>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Elephant">
    <w:altName w:val="Segoe Print"/>
    <w:panose1 w:val="02020904090505020303"/>
    <w:charset w:val="00"/>
    <w:family w:val="roman"/>
    <w:pitch w:val="default"/>
    <w:sig w:usb0="00000000"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宋体-WinCharSetFFFF-H">
    <w:altName w:val="宋体"/>
    <w:panose1 w:val="00000000000000000000"/>
    <w:charset w:val="00"/>
    <w:family w:val="auto"/>
    <w:pitch w:val="default"/>
    <w:sig w:usb0="00000000" w:usb1="00000000" w:usb2="00000000" w:usb3="00000000" w:csb0="00000000" w:csb1="00000000"/>
  </w:font>
  <w:font w:name="方正黑体简体">
    <w:altName w:val="黑体"/>
    <w:panose1 w:val="00000000000000000000"/>
    <w:charset w:val="86"/>
    <w:family w:val="script"/>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DAE11">
    <w:pPr>
      <w:pStyle w:val="28"/>
      <w:framePr w:wrap="around" w:vAnchor="text" w:hAnchor="margin" w:xAlign="outside" w:y="1"/>
      <w:rPr>
        <w:rStyle w:val="51"/>
      </w:rPr>
    </w:pPr>
  </w:p>
  <w:p w14:paraId="7637A104">
    <w:pPr>
      <w:pStyle w:val="2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E036E">
    <w:pPr>
      <w:pStyle w:val="28"/>
      <w:framePr w:wrap="around" w:vAnchor="text" w:hAnchor="margin" w:xAlign="outside" w:y="1"/>
      <w:rPr>
        <w:rStyle w:val="51"/>
      </w:rPr>
    </w:pPr>
    <w:r>
      <w:fldChar w:fldCharType="begin"/>
    </w:r>
    <w:r>
      <w:rPr>
        <w:rStyle w:val="51"/>
      </w:rPr>
      <w:instrText xml:space="preserve">PAGE  </w:instrText>
    </w:r>
    <w:r>
      <w:fldChar w:fldCharType="separate"/>
    </w:r>
    <w:r>
      <w:rPr>
        <w:rStyle w:val="51"/>
      </w:rPr>
      <w:t>93</w:t>
    </w:r>
    <w:r>
      <w:fldChar w:fldCharType="end"/>
    </w:r>
  </w:p>
  <w:p w14:paraId="02BF2FF5">
    <w:pPr>
      <w:pStyle w:val="2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4F0F1">
    <w:pPr>
      <w:pStyle w:val="28"/>
      <w:framePr w:wrap="around" w:vAnchor="text" w:hAnchor="margin" w:xAlign="outside" w:y="1"/>
      <w:rPr>
        <w:rStyle w:val="51"/>
      </w:rPr>
    </w:pPr>
    <w:r>
      <w:fldChar w:fldCharType="begin"/>
    </w:r>
    <w:r>
      <w:rPr>
        <w:rStyle w:val="51"/>
      </w:rPr>
      <w:instrText xml:space="preserve">PAGE  </w:instrText>
    </w:r>
    <w:r>
      <w:fldChar w:fldCharType="separate"/>
    </w:r>
    <w:r>
      <w:rPr>
        <w:rStyle w:val="51"/>
      </w:rPr>
      <w:t>118</w:t>
    </w:r>
    <w:r>
      <w:fldChar w:fldCharType="end"/>
    </w:r>
  </w:p>
  <w:p w14:paraId="13E62420">
    <w:pPr>
      <w:pStyle w:val="28"/>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02EA7">
    <w:pPr>
      <w:pStyle w:val="28"/>
      <w:ind w:right="360" w:firstLine="360"/>
    </w:pPr>
    <w:r>
      <w:fldChar w:fldCharType="begin"/>
    </w:r>
    <w:r>
      <w:rPr>
        <w:rStyle w:val="51"/>
      </w:rPr>
      <w:instrText xml:space="preserve"> PAGE </w:instrText>
    </w:r>
    <w:r>
      <w:fldChar w:fldCharType="separate"/>
    </w:r>
    <w:r>
      <w:rPr>
        <w:rStyle w:val="51"/>
      </w:rPr>
      <w:t>123</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23A98">
    <w:pPr>
      <w:pStyle w:val="28"/>
      <w:framePr w:wrap="around" w:vAnchor="text" w:hAnchor="margin" w:xAlign="outside" w:y="1"/>
      <w:rPr>
        <w:rStyle w:val="51"/>
      </w:rPr>
    </w:pPr>
    <w:r>
      <w:fldChar w:fldCharType="begin"/>
    </w:r>
    <w:r>
      <w:rPr>
        <w:rStyle w:val="51"/>
      </w:rPr>
      <w:instrText xml:space="preserve">PAGE  </w:instrText>
    </w:r>
    <w:r>
      <w:fldChar w:fldCharType="separate"/>
    </w:r>
    <w:r>
      <w:rPr>
        <w:rStyle w:val="51"/>
      </w:rPr>
      <w:t>197</w:t>
    </w:r>
    <w:r>
      <w:fldChar w:fldCharType="end"/>
    </w:r>
  </w:p>
  <w:p w14:paraId="240427E8">
    <w:pPr>
      <w:pStyle w:val="28"/>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FE5750"/>
    <w:multiLevelType w:val="multilevel"/>
    <w:tmpl w:val="20FE5750"/>
    <w:lvl w:ilvl="0" w:tentative="0">
      <w:start w:val="2"/>
      <w:numFmt w:val="decimal"/>
      <w:pStyle w:val="65"/>
      <w:lvlText w:val="%1"/>
      <w:lvlJc w:val="left"/>
      <w:pPr>
        <w:tabs>
          <w:tab w:val="left" w:pos="855"/>
        </w:tabs>
        <w:ind w:left="855" w:hanging="855"/>
      </w:pPr>
      <w:rPr>
        <w:rFonts w:hint="default"/>
      </w:rPr>
    </w:lvl>
    <w:lvl w:ilvl="1" w:tentative="0">
      <w:start w:val="0"/>
      <w:numFmt w:val="decimal"/>
      <w:pStyle w:val="60"/>
      <w:lvlText w:val="%1.%2"/>
      <w:lvlJc w:val="left"/>
      <w:pPr>
        <w:tabs>
          <w:tab w:val="left" w:pos="855"/>
        </w:tabs>
        <w:ind w:left="855" w:hanging="855"/>
      </w:pPr>
      <w:rPr>
        <w:rFonts w:hint="default"/>
      </w:rPr>
    </w:lvl>
    <w:lvl w:ilvl="2" w:tentative="0">
      <w:start w:val="8"/>
      <w:numFmt w:val="decimal"/>
      <w:pStyle w:val="59"/>
      <w:lvlText w:val="%1.%2.%3"/>
      <w:lvlJc w:val="left"/>
      <w:pPr>
        <w:tabs>
          <w:tab w:val="left" w:pos="855"/>
        </w:tabs>
        <w:ind w:left="855" w:hanging="855"/>
      </w:pPr>
      <w:rPr>
        <w:rFonts w:hint="default"/>
      </w:rPr>
    </w:lvl>
    <w:lvl w:ilvl="3" w:tentative="0">
      <w:start w:val="1"/>
      <w:numFmt w:val="decimal"/>
      <w:pStyle w:val="58"/>
      <w:lvlText w:val="%1.%2.%3.%4"/>
      <w:lvlJc w:val="left"/>
      <w:pPr>
        <w:tabs>
          <w:tab w:val="left" w:pos="1080"/>
        </w:tabs>
        <w:ind w:left="1080" w:hanging="1080"/>
      </w:pPr>
      <w:rPr>
        <w:rFonts w:hint="default"/>
      </w:rPr>
    </w:lvl>
    <w:lvl w:ilvl="4" w:tentative="0">
      <w:start w:val="1"/>
      <w:numFmt w:val="decimal"/>
      <w:pStyle w:val="57"/>
      <w:lvlText w:val="%1.%2.%3.%4.%5"/>
      <w:lvlJc w:val="left"/>
      <w:pPr>
        <w:tabs>
          <w:tab w:val="left" w:pos="1080"/>
        </w:tabs>
        <w:ind w:left="1080" w:hanging="1080"/>
      </w:pPr>
      <w:rPr>
        <w:rFonts w:hint="default"/>
      </w:rPr>
    </w:lvl>
    <w:lvl w:ilvl="5" w:tentative="0">
      <w:start w:val="1"/>
      <w:numFmt w:val="decimal"/>
      <w:pStyle w:val="63"/>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1">
    <w:nsid w:val="657D3FBC"/>
    <w:multiLevelType w:val="multilevel"/>
    <w:tmpl w:val="657D3FBC"/>
    <w:lvl w:ilvl="0" w:tentative="0">
      <w:start w:val="1"/>
      <w:numFmt w:val="upperLetter"/>
      <w:suff w:val="nothing"/>
      <w:lvlText w:val="附　录　%1"/>
      <w:lvlJc w:val="left"/>
      <w:pPr>
        <w:ind w:left="0" w:firstLine="0"/>
      </w:pPr>
      <w:rPr>
        <w:rFonts w:hint="eastAsia" w:ascii="黑体" w:hAnsi="Times New Roman" w:eastAsia="黑体"/>
        <w:b w:val="0"/>
        <w:i w:val="0"/>
        <w:sz w:val="32"/>
        <w:szCs w:val="32"/>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pStyle w:val="6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jMzA5YWQxODQyMTFmY2UzMjYxNDEyZjczMDY3ZmQifQ=="/>
  </w:docVars>
  <w:rsids>
    <w:rsidRoot w:val="00172A27"/>
    <w:rsid w:val="00002CC6"/>
    <w:rsid w:val="00003048"/>
    <w:rsid w:val="000045A1"/>
    <w:rsid w:val="000046CE"/>
    <w:rsid w:val="00005FC8"/>
    <w:rsid w:val="00006636"/>
    <w:rsid w:val="00007455"/>
    <w:rsid w:val="00007CD6"/>
    <w:rsid w:val="00013A14"/>
    <w:rsid w:val="00013A3C"/>
    <w:rsid w:val="000141AF"/>
    <w:rsid w:val="000148F8"/>
    <w:rsid w:val="00014FCE"/>
    <w:rsid w:val="00014FD3"/>
    <w:rsid w:val="000154C6"/>
    <w:rsid w:val="000164BC"/>
    <w:rsid w:val="00016509"/>
    <w:rsid w:val="000166C4"/>
    <w:rsid w:val="00021E10"/>
    <w:rsid w:val="0002236F"/>
    <w:rsid w:val="00022BFE"/>
    <w:rsid w:val="00022CBD"/>
    <w:rsid w:val="00023D0C"/>
    <w:rsid w:val="000244DF"/>
    <w:rsid w:val="0002561F"/>
    <w:rsid w:val="000305D0"/>
    <w:rsid w:val="00030FFC"/>
    <w:rsid w:val="00032714"/>
    <w:rsid w:val="000331AC"/>
    <w:rsid w:val="000374D9"/>
    <w:rsid w:val="000378BB"/>
    <w:rsid w:val="00040D99"/>
    <w:rsid w:val="00041197"/>
    <w:rsid w:val="000429AE"/>
    <w:rsid w:val="0004784B"/>
    <w:rsid w:val="000479DE"/>
    <w:rsid w:val="0005079B"/>
    <w:rsid w:val="00050FD1"/>
    <w:rsid w:val="00051209"/>
    <w:rsid w:val="00051C16"/>
    <w:rsid w:val="00051E68"/>
    <w:rsid w:val="00052036"/>
    <w:rsid w:val="00052849"/>
    <w:rsid w:val="000530D3"/>
    <w:rsid w:val="000533F5"/>
    <w:rsid w:val="00054171"/>
    <w:rsid w:val="00056A5E"/>
    <w:rsid w:val="00060F2E"/>
    <w:rsid w:val="00060FF6"/>
    <w:rsid w:val="00061F90"/>
    <w:rsid w:val="00065AC2"/>
    <w:rsid w:val="000663C8"/>
    <w:rsid w:val="00066587"/>
    <w:rsid w:val="0007202D"/>
    <w:rsid w:val="000723C3"/>
    <w:rsid w:val="00073ACA"/>
    <w:rsid w:val="00073F96"/>
    <w:rsid w:val="00075F50"/>
    <w:rsid w:val="00076328"/>
    <w:rsid w:val="0008153F"/>
    <w:rsid w:val="00081B96"/>
    <w:rsid w:val="00082380"/>
    <w:rsid w:val="00083C0B"/>
    <w:rsid w:val="0008410A"/>
    <w:rsid w:val="00084197"/>
    <w:rsid w:val="000849AF"/>
    <w:rsid w:val="00084A2B"/>
    <w:rsid w:val="00085E64"/>
    <w:rsid w:val="00086F60"/>
    <w:rsid w:val="000922A5"/>
    <w:rsid w:val="00094337"/>
    <w:rsid w:val="00094605"/>
    <w:rsid w:val="000959E5"/>
    <w:rsid w:val="00096879"/>
    <w:rsid w:val="00096C79"/>
    <w:rsid w:val="00097371"/>
    <w:rsid w:val="000A1931"/>
    <w:rsid w:val="000A2955"/>
    <w:rsid w:val="000A580C"/>
    <w:rsid w:val="000A5EC1"/>
    <w:rsid w:val="000A74D3"/>
    <w:rsid w:val="000B0665"/>
    <w:rsid w:val="000B0BEC"/>
    <w:rsid w:val="000B135C"/>
    <w:rsid w:val="000B198C"/>
    <w:rsid w:val="000B1F6D"/>
    <w:rsid w:val="000B27C4"/>
    <w:rsid w:val="000B2C3E"/>
    <w:rsid w:val="000B4303"/>
    <w:rsid w:val="000B6C85"/>
    <w:rsid w:val="000B6E6A"/>
    <w:rsid w:val="000C0DD6"/>
    <w:rsid w:val="000C1355"/>
    <w:rsid w:val="000C204C"/>
    <w:rsid w:val="000C47A2"/>
    <w:rsid w:val="000C483D"/>
    <w:rsid w:val="000C4E25"/>
    <w:rsid w:val="000C6297"/>
    <w:rsid w:val="000C6E85"/>
    <w:rsid w:val="000D0189"/>
    <w:rsid w:val="000D1F9A"/>
    <w:rsid w:val="000D210B"/>
    <w:rsid w:val="000D49E3"/>
    <w:rsid w:val="000D5CF8"/>
    <w:rsid w:val="000D6486"/>
    <w:rsid w:val="000D71EB"/>
    <w:rsid w:val="000D75E3"/>
    <w:rsid w:val="000D7FE4"/>
    <w:rsid w:val="000E11CE"/>
    <w:rsid w:val="000E1E14"/>
    <w:rsid w:val="000E242F"/>
    <w:rsid w:val="000E2440"/>
    <w:rsid w:val="000E2E70"/>
    <w:rsid w:val="000E4B55"/>
    <w:rsid w:val="000E7259"/>
    <w:rsid w:val="000E7798"/>
    <w:rsid w:val="000E78E1"/>
    <w:rsid w:val="000F2F3A"/>
    <w:rsid w:val="000F42CB"/>
    <w:rsid w:val="000F505B"/>
    <w:rsid w:val="000F5F2C"/>
    <w:rsid w:val="00102C37"/>
    <w:rsid w:val="00102FFE"/>
    <w:rsid w:val="001032B4"/>
    <w:rsid w:val="001075F1"/>
    <w:rsid w:val="00110D08"/>
    <w:rsid w:val="00112971"/>
    <w:rsid w:val="0011350E"/>
    <w:rsid w:val="001146D9"/>
    <w:rsid w:val="00117A1D"/>
    <w:rsid w:val="00120914"/>
    <w:rsid w:val="00121516"/>
    <w:rsid w:val="001223A5"/>
    <w:rsid w:val="00127FDF"/>
    <w:rsid w:val="001308E5"/>
    <w:rsid w:val="001321B6"/>
    <w:rsid w:val="001346A5"/>
    <w:rsid w:val="001348B4"/>
    <w:rsid w:val="00135896"/>
    <w:rsid w:val="00135A17"/>
    <w:rsid w:val="00137991"/>
    <w:rsid w:val="001420C6"/>
    <w:rsid w:val="001454E5"/>
    <w:rsid w:val="001462D7"/>
    <w:rsid w:val="00152694"/>
    <w:rsid w:val="001532A0"/>
    <w:rsid w:val="001612B1"/>
    <w:rsid w:val="001645AB"/>
    <w:rsid w:val="00164E05"/>
    <w:rsid w:val="00166248"/>
    <w:rsid w:val="0016712A"/>
    <w:rsid w:val="00170070"/>
    <w:rsid w:val="00172A27"/>
    <w:rsid w:val="001761D2"/>
    <w:rsid w:val="00177BB2"/>
    <w:rsid w:val="001820C2"/>
    <w:rsid w:val="00185FC4"/>
    <w:rsid w:val="00185FFE"/>
    <w:rsid w:val="0018614C"/>
    <w:rsid w:val="00186D0D"/>
    <w:rsid w:val="00191B27"/>
    <w:rsid w:val="001923CA"/>
    <w:rsid w:val="00192867"/>
    <w:rsid w:val="001932DA"/>
    <w:rsid w:val="00193817"/>
    <w:rsid w:val="00193C60"/>
    <w:rsid w:val="00193EB9"/>
    <w:rsid w:val="0019586B"/>
    <w:rsid w:val="001974D2"/>
    <w:rsid w:val="00197A74"/>
    <w:rsid w:val="001A0ABA"/>
    <w:rsid w:val="001A25B1"/>
    <w:rsid w:val="001A2E06"/>
    <w:rsid w:val="001A3AC3"/>
    <w:rsid w:val="001A4BD5"/>
    <w:rsid w:val="001A60D3"/>
    <w:rsid w:val="001A676D"/>
    <w:rsid w:val="001A7372"/>
    <w:rsid w:val="001A74AE"/>
    <w:rsid w:val="001A7628"/>
    <w:rsid w:val="001B11F5"/>
    <w:rsid w:val="001B1280"/>
    <w:rsid w:val="001B38F5"/>
    <w:rsid w:val="001B5125"/>
    <w:rsid w:val="001B5FC0"/>
    <w:rsid w:val="001B7236"/>
    <w:rsid w:val="001B7481"/>
    <w:rsid w:val="001C2B4D"/>
    <w:rsid w:val="001C6042"/>
    <w:rsid w:val="001C66C5"/>
    <w:rsid w:val="001D20D6"/>
    <w:rsid w:val="001D2E4A"/>
    <w:rsid w:val="001D386E"/>
    <w:rsid w:val="001D5C80"/>
    <w:rsid w:val="001D67A1"/>
    <w:rsid w:val="001D72F6"/>
    <w:rsid w:val="001D7824"/>
    <w:rsid w:val="001D7B57"/>
    <w:rsid w:val="001E036C"/>
    <w:rsid w:val="001E0A15"/>
    <w:rsid w:val="001E18E9"/>
    <w:rsid w:val="001E1E51"/>
    <w:rsid w:val="001E255F"/>
    <w:rsid w:val="001E32BC"/>
    <w:rsid w:val="001E338B"/>
    <w:rsid w:val="001E3FFB"/>
    <w:rsid w:val="001E4D62"/>
    <w:rsid w:val="001E530A"/>
    <w:rsid w:val="001E5E41"/>
    <w:rsid w:val="001E73E4"/>
    <w:rsid w:val="001E7D14"/>
    <w:rsid w:val="001F0BBE"/>
    <w:rsid w:val="001F117A"/>
    <w:rsid w:val="001F352C"/>
    <w:rsid w:val="001F5A14"/>
    <w:rsid w:val="002006BE"/>
    <w:rsid w:val="0020447B"/>
    <w:rsid w:val="00204EEA"/>
    <w:rsid w:val="00206CF7"/>
    <w:rsid w:val="00206F0F"/>
    <w:rsid w:val="00207116"/>
    <w:rsid w:val="0021344B"/>
    <w:rsid w:val="00213586"/>
    <w:rsid w:val="0021439E"/>
    <w:rsid w:val="00215223"/>
    <w:rsid w:val="00215384"/>
    <w:rsid w:val="00215806"/>
    <w:rsid w:val="002163AB"/>
    <w:rsid w:val="00221652"/>
    <w:rsid w:val="00224593"/>
    <w:rsid w:val="00225776"/>
    <w:rsid w:val="00225803"/>
    <w:rsid w:val="00225BEE"/>
    <w:rsid w:val="00227162"/>
    <w:rsid w:val="00227B9B"/>
    <w:rsid w:val="00230B11"/>
    <w:rsid w:val="00232464"/>
    <w:rsid w:val="002324B2"/>
    <w:rsid w:val="0023389E"/>
    <w:rsid w:val="002345B6"/>
    <w:rsid w:val="0023469A"/>
    <w:rsid w:val="0023542A"/>
    <w:rsid w:val="002370D0"/>
    <w:rsid w:val="002419E4"/>
    <w:rsid w:val="002438A1"/>
    <w:rsid w:val="0024529F"/>
    <w:rsid w:val="0024787C"/>
    <w:rsid w:val="00247CEB"/>
    <w:rsid w:val="0025078E"/>
    <w:rsid w:val="00252402"/>
    <w:rsid w:val="0025359C"/>
    <w:rsid w:val="0025681E"/>
    <w:rsid w:val="00256F0C"/>
    <w:rsid w:val="0025747B"/>
    <w:rsid w:val="00257DD5"/>
    <w:rsid w:val="002616BA"/>
    <w:rsid w:val="00262FAF"/>
    <w:rsid w:val="002630BB"/>
    <w:rsid w:val="002638CA"/>
    <w:rsid w:val="002641DE"/>
    <w:rsid w:val="00266824"/>
    <w:rsid w:val="00273AAD"/>
    <w:rsid w:val="00274329"/>
    <w:rsid w:val="002750CE"/>
    <w:rsid w:val="002773CE"/>
    <w:rsid w:val="00280FFC"/>
    <w:rsid w:val="00281014"/>
    <w:rsid w:val="002839F6"/>
    <w:rsid w:val="002877BD"/>
    <w:rsid w:val="00291CCD"/>
    <w:rsid w:val="00292B7D"/>
    <w:rsid w:val="0029304D"/>
    <w:rsid w:val="00295D7B"/>
    <w:rsid w:val="00296545"/>
    <w:rsid w:val="002A0359"/>
    <w:rsid w:val="002A0445"/>
    <w:rsid w:val="002A0FA7"/>
    <w:rsid w:val="002A1C10"/>
    <w:rsid w:val="002A2300"/>
    <w:rsid w:val="002A3274"/>
    <w:rsid w:val="002A355E"/>
    <w:rsid w:val="002A5025"/>
    <w:rsid w:val="002A5F07"/>
    <w:rsid w:val="002A6721"/>
    <w:rsid w:val="002B101D"/>
    <w:rsid w:val="002B5B43"/>
    <w:rsid w:val="002B61BF"/>
    <w:rsid w:val="002B6C50"/>
    <w:rsid w:val="002C0BAC"/>
    <w:rsid w:val="002C2C66"/>
    <w:rsid w:val="002C3029"/>
    <w:rsid w:val="002C3998"/>
    <w:rsid w:val="002C49F5"/>
    <w:rsid w:val="002C4B95"/>
    <w:rsid w:val="002C5370"/>
    <w:rsid w:val="002D1090"/>
    <w:rsid w:val="002D2C1F"/>
    <w:rsid w:val="002D3278"/>
    <w:rsid w:val="002D3499"/>
    <w:rsid w:val="002D5A08"/>
    <w:rsid w:val="002D623A"/>
    <w:rsid w:val="002D73EC"/>
    <w:rsid w:val="002D78AA"/>
    <w:rsid w:val="002E00BB"/>
    <w:rsid w:val="002E0B26"/>
    <w:rsid w:val="002E1D17"/>
    <w:rsid w:val="002E1FFC"/>
    <w:rsid w:val="002E2A3F"/>
    <w:rsid w:val="002E3700"/>
    <w:rsid w:val="002E3806"/>
    <w:rsid w:val="002E6DAF"/>
    <w:rsid w:val="002E75F7"/>
    <w:rsid w:val="002F236D"/>
    <w:rsid w:val="002F64BD"/>
    <w:rsid w:val="002F6513"/>
    <w:rsid w:val="002F7321"/>
    <w:rsid w:val="002F7C70"/>
    <w:rsid w:val="00300EF7"/>
    <w:rsid w:val="00302239"/>
    <w:rsid w:val="003058E5"/>
    <w:rsid w:val="00305AC7"/>
    <w:rsid w:val="00305DD1"/>
    <w:rsid w:val="003102C9"/>
    <w:rsid w:val="00312364"/>
    <w:rsid w:val="00312E48"/>
    <w:rsid w:val="00315322"/>
    <w:rsid w:val="0031563F"/>
    <w:rsid w:val="0031662D"/>
    <w:rsid w:val="00317139"/>
    <w:rsid w:val="00317B8B"/>
    <w:rsid w:val="003209F6"/>
    <w:rsid w:val="00320E59"/>
    <w:rsid w:val="003224C8"/>
    <w:rsid w:val="003241B8"/>
    <w:rsid w:val="0032561D"/>
    <w:rsid w:val="003256D7"/>
    <w:rsid w:val="00331B3D"/>
    <w:rsid w:val="00332F2A"/>
    <w:rsid w:val="00333273"/>
    <w:rsid w:val="00337302"/>
    <w:rsid w:val="0034085D"/>
    <w:rsid w:val="0034500B"/>
    <w:rsid w:val="00345E9B"/>
    <w:rsid w:val="00346C84"/>
    <w:rsid w:val="00347D04"/>
    <w:rsid w:val="00350654"/>
    <w:rsid w:val="00351D40"/>
    <w:rsid w:val="0035265D"/>
    <w:rsid w:val="00352AA8"/>
    <w:rsid w:val="003540E9"/>
    <w:rsid w:val="00360B81"/>
    <w:rsid w:val="003610C4"/>
    <w:rsid w:val="00361172"/>
    <w:rsid w:val="00363142"/>
    <w:rsid w:val="00365F27"/>
    <w:rsid w:val="003664E1"/>
    <w:rsid w:val="0037008A"/>
    <w:rsid w:val="00372C9F"/>
    <w:rsid w:val="00372F08"/>
    <w:rsid w:val="00373B67"/>
    <w:rsid w:val="00373CEA"/>
    <w:rsid w:val="003745EA"/>
    <w:rsid w:val="0037518B"/>
    <w:rsid w:val="0037540D"/>
    <w:rsid w:val="00376331"/>
    <w:rsid w:val="00377BFC"/>
    <w:rsid w:val="003810D1"/>
    <w:rsid w:val="0038132D"/>
    <w:rsid w:val="0038204A"/>
    <w:rsid w:val="00384576"/>
    <w:rsid w:val="00386624"/>
    <w:rsid w:val="0038662D"/>
    <w:rsid w:val="00387205"/>
    <w:rsid w:val="0039200D"/>
    <w:rsid w:val="00392590"/>
    <w:rsid w:val="00392836"/>
    <w:rsid w:val="00392EDE"/>
    <w:rsid w:val="00393973"/>
    <w:rsid w:val="00393A38"/>
    <w:rsid w:val="003954AB"/>
    <w:rsid w:val="0039643A"/>
    <w:rsid w:val="003A1722"/>
    <w:rsid w:val="003A3251"/>
    <w:rsid w:val="003A3403"/>
    <w:rsid w:val="003A612F"/>
    <w:rsid w:val="003A6271"/>
    <w:rsid w:val="003A629C"/>
    <w:rsid w:val="003A6363"/>
    <w:rsid w:val="003A7A00"/>
    <w:rsid w:val="003B34B2"/>
    <w:rsid w:val="003B37BA"/>
    <w:rsid w:val="003B3DFA"/>
    <w:rsid w:val="003B4009"/>
    <w:rsid w:val="003B4629"/>
    <w:rsid w:val="003B485A"/>
    <w:rsid w:val="003B5BA4"/>
    <w:rsid w:val="003B66A0"/>
    <w:rsid w:val="003B7C10"/>
    <w:rsid w:val="003C27D7"/>
    <w:rsid w:val="003C5CFA"/>
    <w:rsid w:val="003C72D6"/>
    <w:rsid w:val="003C795C"/>
    <w:rsid w:val="003D0511"/>
    <w:rsid w:val="003D0985"/>
    <w:rsid w:val="003D1E1F"/>
    <w:rsid w:val="003D27EA"/>
    <w:rsid w:val="003D3F9D"/>
    <w:rsid w:val="003D73C9"/>
    <w:rsid w:val="003D74B0"/>
    <w:rsid w:val="003D7F25"/>
    <w:rsid w:val="003E0755"/>
    <w:rsid w:val="003E179C"/>
    <w:rsid w:val="003E209D"/>
    <w:rsid w:val="003E22FC"/>
    <w:rsid w:val="003E410C"/>
    <w:rsid w:val="003E5617"/>
    <w:rsid w:val="003E68AE"/>
    <w:rsid w:val="003E773A"/>
    <w:rsid w:val="003E7C83"/>
    <w:rsid w:val="003E7F26"/>
    <w:rsid w:val="003F1361"/>
    <w:rsid w:val="003F34C2"/>
    <w:rsid w:val="003F3671"/>
    <w:rsid w:val="003F384E"/>
    <w:rsid w:val="003F3F1E"/>
    <w:rsid w:val="003F5D9C"/>
    <w:rsid w:val="003F5DC2"/>
    <w:rsid w:val="003F7B00"/>
    <w:rsid w:val="00401F02"/>
    <w:rsid w:val="0040589F"/>
    <w:rsid w:val="004059BF"/>
    <w:rsid w:val="0041058D"/>
    <w:rsid w:val="004112F4"/>
    <w:rsid w:val="00412071"/>
    <w:rsid w:val="0041432D"/>
    <w:rsid w:val="00416DF8"/>
    <w:rsid w:val="00420398"/>
    <w:rsid w:val="004207CC"/>
    <w:rsid w:val="00420C5C"/>
    <w:rsid w:val="004218FB"/>
    <w:rsid w:val="00421D40"/>
    <w:rsid w:val="00423E88"/>
    <w:rsid w:val="00426AA6"/>
    <w:rsid w:val="00427CEB"/>
    <w:rsid w:val="00431547"/>
    <w:rsid w:val="004325DD"/>
    <w:rsid w:val="004334CB"/>
    <w:rsid w:val="00433EE2"/>
    <w:rsid w:val="00436195"/>
    <w:rsid w:val="00437DBA"/>
    <w:rsid w:val="004409E2"/>
    <w:rsid w:val="00441D54"/>
    <w:rsid w:val="00442881"/>
    <w:rsid w:val="00443395"/>
    <w:rsid w:val="00445084"/>
    <w:rsid w:val="00446054"/>
    <w:rsid w:val="00447770"/>
    <w:rsid w:val="00447A89"/>
    <w:rsid w:val="00450300"/>
    <w:rsid w:val="0045032B"/>
    <w:rsid w:val="004519FE"/>
    <w:rsid w:val="004543CC"/>
    <w:rsid w:val="00454837"/>
    <w:rsid w:val="00454E2E"/>
    <w:rsid w:val="00456BF1"/>
    <w:rsid w:val="004576C3"/>
    <w:rsid w:val="00457DBC"/>
    <w:rsid w:val="0046041F"/>
    <w:rsid w:val="00460DA6"/>
    <w:rsid w:val="0046105A"/>
    <w:rsid w:val="004612C5"/>
    <w:rsid w:val="00462ED7"/>
    <w:rsid w:val="00471D4C"/>
    <w:rsid w:val="00472B46"/>
    <w:rsid w:val="00474A7C"/>
    <w:rsid w:val="00474D19"/>
    <w:rsid w:val="00474D93"/>
    <w:rsid w:val="00475FEC"/>
    <w:rsid w:val="00476943"/>
    <w:rsid w:val="004773C0"/>
    <w:rsid w:val="00483A5E"/>
    <w:rsid w:val="0048609E"/>
    <w:rsid w:val="004867F8"/>
    <w:rsid w:val="00491208"/>
    <w:rsid w:val="00494BDB"/>
    <w:rsid w:val="00494EF1"/>
    <w:rsid w:val="00496BC4"/>
    <w:rsid w:val="00496FC9"/>
    <w:rsid w:val="00497E97"/>
    <w:rsid w:val="004A1560"/>
    <w:rsid w:val="004A30AF"/>
    <w:rsid w:val="004A67B1"/>
    <w:rsid w:val="004A6FFD"/>
    <w:rsid w:val="004A7A7D"/>
    <w:rsid w:val="004A7E94"/>
    <w:rsid w:val="004B001D"/>
    <w:rsid w:val="004B1552"/>
    <w:rsid w:val="004B1847"/>
    <w:rsid w:val="004B37F0"/>
    <w:rsid w:val="004B4476"/>
    <w:rsid w:val="004B4819"/>
    <w:rsid w:val="004B52B7"/>
    <w:rsid w:val="004B7853"/>
    <w:rsid w:val="004C04BE"/>
    <w:rsid w:val="004C0DA6"/>
    <w:rsid w:val="004C2057"/>
    <w:rsid w:val="004C2618"/>
    <w:rsid w:val="004C31A3"/>
    <w:rsid w:val="004C4C8A"/>
    <w:rsid w:val="004D08C1"/>
    <w:rsid w:val="004D164E"/>
    <w:rsid w:val="004D1C6C"/>
    <w:rsid w:val="004D57C3"/>
    <w:rsid w:val="004D5ACF"/>
    <w:rsid w:val="004D6DEC"/>
    <w:rsid w:val="004E02CF"/>
    <w:rsid w:val="004E09DB"/>
    <w:rsid w:val="004E298E"/>
    <w:rsid w:val="004E30A0"/>
    <w:rsid w:val="004E35FB"/>
    <w:rsid w:val="004E3FE8"/>
    <w:rsid w:val="004E4903"/>
    <w:rsid w:val="004F0D90"/>
    <w:rsid w:val="004F13EC"/>
    <w:rsid w:val="004F3B36"/>
    <w:rsid w:val="004F6778"/>
    <w:rsid w:val="0050032A"/>
    <w:rsid w:val="00501737"/>
    <w:rsid w:val="00502B7C"/>
    <w:rsid w:val="0050498D"/>
    <w:rsid w:val="0050638A"/>
    <w:rsid w:val="005063DC"/>
    <w:rsid w:val="005066EB"/>
    <w:rsid w:val="00507AB2"/>
    <w:rsid w:val="00507ADA"/>
    <w:rsid w:val="00510D35"/>
    <w:rsid w:val="00512C66"/>
    <w:rsid w:val="0051301C"/>
    <w:rsid w:val="005131CD"/>
    <w:rsid w:val="0051492D"/>
    <w:rsid w:val="0051507F"/>
    <w:rsid w:val="00516F57"/>
    <w:rsid w:val="00517245"/>
    <w:rsid w:val="00517EE2"/>
    <w:rsid w:val="0052068B"/>
    <w:rsid w:val="00521874"/>
    <w:rsid w:val="00524FEF"/>
    <w:rsid w:val="005252E9"/>
    <w:rsid w:val="00525BAC"/>
    <w:rsid w:val="0052633D"/>
    <w:rsid w:val="0052772C"/>
    <w:rsid w:val="00527BDA"/>
    <w:rsid w:val="00532058"/>
    <w:rsid w:val="00533315"/>
    <w:rsid w:val="0053518F"/>
    <w:rsid w:val="00535BBF"/>
    <w:rsid w:val="00536336"/>
    <w:rsid w:val="0054406B"/>
    <w:rsid w:val="00544125"/>
    <w:rsid w:val="0054570B"/>
    <w:rsid w:val="00546056"/>
    <w:rsid w:val="00546A00"/>
    <w:rsid w:val="00550454"/>
    <w:rsid w:val="00550DA8"/>
    <w:rsid w:val="00550F29"/>
    <w:rsid w:val="00551DF7"/>
    <w:rsid w:val="0055398D"/>
    <w:rsid w:val="0055486C"/>
    <w:rsid w:val="00554A69"/>
    <w:rsid w:val="00556170"/>
    <w:rsid w:val="00560D14"/>
    <w:rsid w:val="00560FF2"/>
    <w:rsid w:val="005619A5"/>
    <w:rsid w:val="00561C49"/>
    <w:rsid w:val="00564A2E"/>
    <w:rsid w:val="00565F9D"/>
    <w:rsid w:val="00566731"/>
    <w:rsid w:val="00567E89"/>
    <w:rsid w:val="00567EDE"/>
    <w:rsid w:val="00570EE1"/>
    <w:rsid w:val="00572188"/>
    <w:rsid w:val="00572198"/>
    <w:rsid w:val="0057415D"/>
    <w:rsid w:val="00575D1D"/>
    <w:rsid w:val="00580B06"/>
    <w:rsid w:val="00581362"/>
    <w:rsid w:val="00581508"/>
    <w:rsid w:val="00583204"/>
    <w:rsid w:val="00584754"/>
    <w:rsid w:val="00585216"/>
    <w:rsid w:val="00585E57"/>
    <w:rsid w:val="00591C01"/>
    <w:rsid w:val="00592A76"/>
    <w:rsid w:val="00592C86"/>
    <w:rsid w:val="005950C1"/>
    <w:rsid w:val="0059554F"/>
    <w:rsid w:val="00596E6F"/>
    <w:rsid w:val="00597C4F"/>
    <w:rsid w:val="005A2283"/>
    <w:rsid w:val="005A2CE5"/>
    <w:rsid w:val="005A5D82"/>
    <w:rsid w:val="005B0FC7"/>
    <w:rsid w:val="005B12F8"/>
    <w:rsid w:val="005B170A"/>
    <w:rsid w:val="005B31AB"/>
    <w:rsid w:val="005B3870"/>
    <w:rsid w:val="005B5E5D"/>
    <w:rsid w:val="005B73B8"/>
    <w:rsid w:val="005C000D"/>
    <w:rsid w:val="005C00DE"/>
    <w:rsid w:val="005C0AE6"/>
    <w:rsid w:val="005C280A"/>
    <w:rsid w:val="005C2F32"/>
    <w:rsid w:val="005C3D24"/>
    <w:rsid w:val="005C50A7"/>
    <w:rsid w:val="005C6712"/>
    <w:rsid w:val="005C73B0"/>
    <w:rsid w:val="005C764B"/>
    <w:rsid w:val="005C7E9C"/>
    <w:rsid w:val="005D1860"/>
    <w:rsid w:val="005D2A31"/>
    <w:rsid w:val="005D2A8B"/>
    <w:rsid w:val="005D2DA3"/>
    <w:rsid w:val="005D3C6D"/>
    <w:rsid w:val="005D67B7"/>
    <w:rsid w:val="005E1F16"/>
    <w:rsid w:val="005E25DA"/>
    <w:rsid w:val="005E2A61"/>
    <w:rsid w:val="005E3B8B"/>
    <w:rsid w:val="005E469D"/>
    <w:rsid w:val="005E490B"/>
    <w:rsid w:val="005E4F7F"/>
    <w:rsid w:val="005E6E47"/>
    <w:rsid w:val="005F162A"/>
    <w:rsid w:val="005F4D7B"/>
    <w:rsid w:val="005F5EA4"/>
    <w:rsid w:val="005F608F"/>
    <w:rsid w:val="005F7D95"/>
    <w:rsid w:val="00602B86"/>
    <w:rsid w:val="00605127"/>
    <w:rsid w:val="00605235"/>
    <w:rsid w:val="0060578D"/>
    <w:rsid w:val="006058AB"/>
    <w:rsid w:val="00605F82"/>
    <w:rsid w:val="006105B5"/>
    <w:rsid w:val="006108F7"/>
    <w:rsid w:val="00611346"/>
    <w:rsid w:val="00612871"/>
    <w:rsid w:val="00615A11"/>
    <w:rsid w:val="006168DA"/>
    <w:rsid w:val="006200EC"/>
    <w:rsid w:val="00620E21"/>
    <w:rsid w:val="00623C19"/>
    <w:rsid w:val="0062489D"/>
    <w:rsid w:val="0062652E"/>
    <w:rsid w:val="00626548"/>
    <w:rsid w:val="00626AFB"/>
    <w:rsid w:val="00631C13"/>
    <w:rsid w:val="00631DEF"/>
    <w:rsid w:val="00631EC0"/>
    <w:rsid w:val="006329B3"/>
    <w:rsid w:val="0063663E"/>
    <w:rsid w:val="00637256"/>
    <w:rsid w:val="0063745C"/>
    <w:rsid w:val="00641D9A"/>
    <w:rsid w:val="006424B4"/>
    <w:rsid w:val="0064410D"/>
    <w:rsid w:val="00644321"/>
    <w:rsid w:val="00644D14"/>
    <w:rsid w:val="00645A29"/>
    <w:rsid w:val="00650C84"/>
    <w:rsid w:val="00651036"/>
    <w:rsid w:val="0065179D"/>
    <w:rsid w:val="00653C65"/>
    <w:rsid w:val="0065660A"/>
    <w:rsid w:val="006579DE"/>
    <w:rsid w:val="00660ACD"/>
    <w:rsid w:val="00661709"/>
    <w:rsid w:val="00663195"/>
    <w:rsid w:val="0066360E"/>
    <w:rsid w:val="0066562B"/>
    <w:rsid w:val="00666AA8"/>
    <w:rsid w:val="00666F0A"/>
    <w:rsid w:val="00667489"/>
    <w:rsid w:val="0066799A"/>
    <w:rsid w:val="00670159"/>
    <w:rsid w:val="00672E6F"/>
    <w:rsid w:val="006731F0"/>
    <w:rsid w:val="0067403B"/>
    <w:rsid w:val="006747E8"/>
    <w:rsid w:val="0067579F"/>
    <w:rsid w:val="0067638C"/>
    <w:rsid w:val="00681A5D"/>
    <w:rsid w:val="00682066"/>
    <w:rsid w:val="00683C29"/>
    <w:rsid w:val="00684273"/>
    <w:rsid w:val="006852A2"/>
    <w:rsid w:val="00685D87"/>
    <w:rsid w:val="00687072"/>
    <w:rsid w:val="00687287"/>
    <w:rsid w:val="00690B94"/>
    <w:rsid w:val="00692FF1"/>
    <w:rsid w:val="006945AD"/>
    <w:rsid w:val="00694CAF"/>
    <w:rsid w:val="00695383"/>
    <w:rsid w:val="006A06B6"/>
    <w:rsid w:val="006A0C45"/>
    <w:rsid w:val="006A3976"/>
    <w:rsid w:val="006A42CE"/>
    <w:rsid w:val="006A4B61"/>
    <w:rsid w:val="006A64BF"/>
    <w:rsid w:val="006A738D"/>
    <w:rsid w:val="006B1513"/>
    <w:rsid w:val="006B4B34"/>
    <w:rsid w:val="006B5AC5"/>
    <w:rsid w:val="006B5DFC"/>
    <w:rsid w:val="006B6DC7"/>
    <w:rsid w:val="006B7A3F"/>
    <w:rsid w:val="006B7BE5"/>
    <w:rsid w:val="006C3DFD"/>
    <w:rsid w:val="006C4D2C"/>
    <w:rsid w:val="006C509F"/>
    <w:rsid w:val="006C5933"/>
    <w:rsid w:val="006C5DB8"/>
    <w:rsid w:val="006C6716"/>
    <w:rsid w:val="006C6890"/>
    <w:rsid w:val="006C7C8A"/>
    <w:rsid w:val="006D072F"/>
    <w:rsid w:val="006D2257"/>
    <w:rsid w:val="006D3094"/>
    <w:rsid w:val="006D39D6"/>
    <w:rsid w:val="006D5C98"/>
    <w:rsid w:val="006D64A5"/>
    <w:rsid w:val="006E0629"/>
    <w:rsid w:val="006E0F36"/>
    <w:rsid w:val="006E38AB"/>
    <w:rsid w:val="006E43F5"/>
    <w:rsid w:val="006E53D6"/>
    <w:rsid w:val="006E6BE0"/>
    <w:rsid w:val="006F16C7"/>
    <w:rsid w:val="006F23F6"/>
    <w:rsid w:val="006F3617"/>
    <w:rsid w:val="006F4811"/>
    <w:rsid w:val="006F5291"/>
    <w:rsid w:val="006F725E"/>
    <w:rsid w:val="006F7583"/>
    <w:rsid w:val="00701EB8"/>
    <w:rsid w:val="007026E3"/>
    <w:rsid w:val="00704BD2"/>
    <w:rsid w:val="0070567A"/>
    <w:rsid w:val="00711D88"/>
    <w:rsid w:val="0071200C"/>
    <w:rsid w:val="00712171"/>
    <w:rsid w:val="007149C5"/>
    <w:rsid w:val="00716CA6"/>
    <w:rsid w:val="00716ED7"/>
    <w:rsid w:val="007205E4"/>
    <w:rsid w:val="00722ED9"/>
    <w:rsid w:val="00725F98"/>
    <w:rsid w:val="00726B4F"/>
    <w:rsid w:val="0073010C"/>
    <w:rsid w:val="0073267B"/>
    <w:rsid w:val="00734076"/>
    <w:rsid w:val="00734CB3"/>
    <w:rsid w:val="00734E91"/>
    <w:rsid w:val="007373A6"/>
    <w:rsid w:val="00746716"/>
    <w:rsid w:val="00750423"/>
    <w:rsid w:val="007505F9"/>
    <w:rsid w:val="00753BB4"/>
    <w:rsid w:val="00757B03"/>
    <w:rsid w:val="0076256E"/>
    <w:rsid w:val="00762C36"/>
    <w:rsid w:val="00762C7B"/>
    <w:rsid w:val="0076336F"/>
    <w:rsid w:val="00764135"/>
    <w:rsid w:val="00765EC3"/>
    <w:rsid w:val="00766BA2"/>
    <w:rsid w:val="007721E5"/>
    <w:rsid w:val="00772563"/>
    <w:rsid w:val="00772913"/>
    <w:rsid w:val="0077390C"/>
    <w:rsid w:val="007742F1"/>
    <w:rsid w:val="00775374"/>
    <w:rsid w:val="0077570B"/>
    <w:rsid w:val="00775E7C"/>
    <w:rsid w:val="00782802"/>
    <w:rsid w:val="0078301D"/>
    <w:rsid w:val="0078388B"/>
    <w:rsid w:val="00785399"/>
    <w:rsid w:val="0078747B"/>
    <w:rsid w:val="0079004F"/>
    <w:rsid w:val="00790CE4"/>
    <w:rsid w:val="007917DE"/>
    <w:rsid w:val="00792477"/>
    <w:rsid w:val="00792FD6"/>
    <w:rsid w:val="0079551A"/>
    <w:rsid w:val="0079617D"/>
    <w:rsid w:val="007965E1"/>
    <w:rsid w:val="007976C8"/>
    <w:rsid w:val="007A320F"/>
    <w:rsid w:val="007A3990"/>
    <w:rsid w:val="007A49C1"/>
    <w:rsid w:val="007B09ED"/>
    <w:rsid w:val="007B2BB8"/>
    <w:rsid w:val="007B54CA"/>
    <w:rsid w:val="007B6071"/>
    <w:rsid w:val="007B6C86"/>
    <w:rsid w:val="007B7136"/>
    <w:rsid w:val="007C06C6"/>
    <w:rsid w:val="007C0AE7"/>
    <w:rsid w:val="007C2355"/>
    <w:rsid w:val="007C2D71"/>
    <w:rsid w:val="007C3012"/>
    <w:rsid w:val="007C552F"/>
    <w:rsid w:val="007D1ED2"/>
    <w:rsid w:val="007D3542"/>
    <w:rsid w:val="007D49DE"/>
    <w:rsid w:val="007D5260"/>
    <w:rsid w:val="007D6298"/>
    <w:rsid w:val="007E25B1"/>
    <w:rsid w:val="007E2C4E"/>
    <w:rsid w:val="007E2D41"/>
    <w:rsid w:val="007E3988"/>
    <w:rsid w:val="007E499B"/>
    <w:rsid w:val="007E5505"/>
    <w:rsid w:val="007E5A69"/>
    <w:rsid w:val="007F0944"/>
    <w:rsid w:val="007F10E3"/>
    <w:rsid w:val="007F276E"/>
    <w:rsid w:val="007F3577"/>
    <w:rsid w:val="007F6E08"/>
    <w:rsid w:val="007F6F8B"/>
    <w:rsid w:val="00802AFC"/>
    <w:rsid w:val="00802BDE"/>
    <w:rsid w:val="00802E13"/>
    <w:rsid w:val="0080347A"/>
    <w:rsid w:val="008034B0"/>
    <w:rsid w:val="00803535"/>
    <w:rsid w:val="00804825"/>
    <w:rsid w:val="00804DC6"/>
    <w:rsid w:val="00805670"/>
    <w:rsid w:val="008060E0"/>
    <w:rsid w:val="008076F8"/>
    <w:rsid w:val="00810A5A"/>
    <w:rsid w:val="00811C25"/>
    <w:rsid w:val="008159B0"/>
    <w:rsid w:val="0081712B"/>
    <w:rsid w:val="0081781B"/>
    <w:rsid w:val="00817A21"/>
    <w:rsid w:val="00817ED9"/>
    <w:rsid w:val="00820161"/>
    <w:rsid w:val="008238D2"/>
    <w:rsid w:val="00824D95"/>
    <w:rsid w:val="00826A48"/>
    <w:rsid w:val="00827607"/>
    <w:rsid w:val="008300DC"/>
    <w:rsid w:val="008306E9"/>
    <w:rsid w:val="00830DAC"/>
    <w:rsid w:val="00832800"/>
    <w:rsid w:val="00832ADF"/>
    <w:rsid w:val="00832F18"/>
    <w:rsid w:val="00834686"/>
    <w:rsid w:val="00837260"/>
    <w:rsid w:val="008406F6"/>
    <w:rsid w:val="00840E41"/>
    <w:rsid w:val="00840F69"/>
    <w:rsid w:val="00841718"/>
    <w:rsid w:val="00843B52"/>
    <w:rsid w:val="00844285"/>
    <w:rsid w:val="00844B33"/>
    <w:rsid w:val="00844E74"/>
    <w:rsid w:val="00847051"/>
    <w:rsid w:val="00850497"/>
    <w:rsid w:val="008510E4"/>
    <w:rsid w:val="008512DE"/>
    <w:rsid w:val="00852B57"/>
    <w:rsid w:val="00855403"/>
    <w:rsid w:val="00855610"/>
    <w:rsid w:val="008558C0"/>
    <w:rsid w:val="00857D40"/>
    <w:rsid w:val="00860A87"/>
    <w:rsid w:val="00860E63"/>
    <w:rsid w:val="00860E8B"/>
    <w:rsid w:val="00861F8A"/>
    <w:rsid w:val="008627A7"/>
    <w:rsid w:val="008630CA"/>
    <w:rsid w:val="00867093"/>
    <w:rsid w:val="00870B51"/>
    <w:rsid w:val="00871E4D"/>
    <w:rsid w:val="00872878"/>
    <w:rsid w:val="00875B17"/>
    <w:rsid w:val="00875E13"/>
    <w:rsid w:val="00876226"/>
    <w:rsid w:val="0087706C"/>
    <w:rsid w:val="00877699"/>
    <w:rsid w:val="00877B87"/>
    <w:rsid w:val="00880E24"/>
    <w:rsid w:val="00880F79"/>
    <w:rsid w:val="00881085"/>
    <w:rsid w:val="008821E8"/>
    <w:rsid w:val="00882295"/>
    <w:rsid w:val="008854C5"/>
    <w:rsid w:val="00886294"/>
    <w:rsid w:val="008917E3"/>
    <w:rsid w:val="00891AF9"/>
    <w:rsid w:val="00892F7F"/>
    <w:rsid w:val="008936CF"/>
    <w:rsid w:val="00894C1D"/>
    <w:rsid w:val="008965B4"/>
    <w:rsid w:val="008975D3"/>
    <w:rsid w:val="008A6026"/>
    <w:rsid w:val="008A6A68"/>
    <w:rsid w:val="008A6EB1"/>
    <w:rsid w:val="008A7194"/>
    <w:rsid w:val="008A71C1"/>
    <w:rsid w:val="008B0233"/>
    <w:rsid w:val="008B0CC9"/>
    <w:rsid w:val="008B1712"/>
    <w:rsid w:val="008B1B0D"/>
    <w:rsid w:val="008B4714"/>
    <w:rsid w:val="008B6FDC"/>
    <w:rsid w:val="008C0E98"/>
    <w:rsid w:val="008C277C"/>
    <w:rsid w:val="008C27D4"/>
    <w:rsid w:val="008C3709"/>
    <w:rsid w:val="008C444E"/>
    <w:rsid w:val="008C7232"/>
    <w:rsid w:val="008D1257"/>
    <w:rsid w:val="008D484F"/>
    <w:rsid w:val="008D511B"/>
    <w:rsid w:val="008D5C46"/>
    <w:rsid w:val="008D61DA"/>
    <w:rsid w:val="008D6702"/>
    <w:rsid w:val="008D67CB"/>
    <w:rsid w:val="008D6D3E"/>
    <w:rsid w:val="008D7E67"/>
    <w:rsid w:val="008E0E3B"/>
    <w:rsid w:val="008E26D1"/>
    <w:rsid w:val="008E41F0"/>
    <w:rsid w:val="008E4A4C"/>
    <w:rsid w:val="008E7065"/>
    <w:rsid w:val="008E7614"/>
    <w:rsid w:val="008E7694"/>
    <w:rsid w:val="008F01E2"/>
    <w:rsid w:val="008F0EE5"/>
    <w:rsid w:val="008F1215"/>
    <w:rsid w:val="008F19F2"/>
    <w:rsid w:val="008F2442"/>
    <w:rsid w:val="008F260A"/>
    <w:rsid w:val="008F2932"/>
    <w:rsid w:val="008F3CBC"/>
    <w:rsid w:val="008F577C"/>
    <w:rsid w:val="00902EC7"/>
    <w:rsid w:val="00902F48"/>
    <w:rsid w:val="009038ED"/>
    <w:rsid w:val="009040EF"/>
    <w:rsid w:val="009050AC"/>
    <w:rsid w:val="00905D32"/>
    <w:rsid w:val="00906639"/>
    <w:rsid w:val="009069FE"/>
    <w:rsid w:val="00907304"/>
    <w:rsid w:val="00910156"/>
    <w:rsid w:val="009135F3"/>
    <w:rsid w:val="00914EE4"/>
    <w:rsid w:val="00921547"/>
    <w:rsid w:val="009216D5"/>
    <w:rsid w:val="00921792"/>
    <w:rsid w:val="009219F6"/>
    <w:rsid w:val="00921C7B"/>
    <w:rsid w:val="00921E5B"/>
    <w:rsid w:val="00922560"/>
    <w:rsid w:val="00923CC1"/>
    <w:rsid w:val="00923F11"/>
    <w:rsid w:val="00923FC7"/>
    <w:rsid w:val="00927B04"/>
    <w:rsid w:val="00927D3B"/>
    <w:rsid w:val="00931158"/>
    <w:rsid w:val="009313A5"/>
    <w:rsid w:val="009341EF"/>
    <w:rsid w:val="009342AB"/>
    <w:rsid w:val="00934CB1"/>
    <w:rsid w:val="0093531F"/>
    <w:rsid w:val="00935EC6"/>
    <w:rsid w:val="00941546"/>
    <w:rsid w:val="0094413D"/>
    <w:rsid w:val="009524FF"/>
    <w:rsid w:val="0095312B"/>
    <w:rsid w:val="00953459"/>
    <w:rsid w:val="009556A5"/>
    <w:rsid w:val="00956424"/>
    <w:rsid w:val="00956970"/>
    <w:rsid w:val="00956F76"/>
    <w:rsid w:val="00960456"/>
    <w:rsid w:val="00960FF3"/>
    <w:rsid w:val="009615BB"/>
    <w:rsid w:val="00965EA2"/>
    <w:rsid w:val="00966288"/>
    <w:rsid w:val="009667D1"/>
    <w:rsid w:val="00966972"/>
    <w:rsid w:val="0096714E"/>
    <w:rsid w:val="00967575"/>
    <w:rsid w:val="00967F18"/>
    <w:rsid w:val="00971B47"/>
    <w:rsid w:val="00972175"/>
    <w:rsid w:val="00974914"/>
    <w:rsid w:val="009758EF"/>
    <w:rsid w:val="00975D95"/>
    <w:rsid w:val="009761DC"/>
    <w:rsid w:val="00980AEB"/>
    <w:rsid w:val="00981BD7"/>
    <w:rsid w:val="009823E7"/>
    <w:rsid w:val="00983D73"/>
    <w:rsid w:val="00983DD5"/>
    <w:rsid w:val="00984628"/>
    <w:rsid w:val="00984C83"/>
    <w:rsid w:val="00986E77"/>
    <w:rsid w:val="00987ED0"/>
    <w:rsid w:val="00994613"/>
    <w:rsid w:val="009A2450"/>
    <w:rsid w:val="009A4D4E"/>
    <w:rsid w:val="009B14A3"/>
    <w:rsid w:val="009B15C4"/>
    <w:rsid w:val="009B2474"/>
    <w:rsid w:val="009B3CFE"/>
    <w:rsid w:val="009B4661"/>
    <w:rsid w:val="009B4947"/>
    <w:rsid w:val="009B72AF"/>
    <w:rsid w:val="009C1447"/>
    <w:rsid w:val="009C1541"/>
    <w:rsid w:val="009C2D34"/>
    <w:rsid w:val="009C36AC"/>
    <w:rsid w:val="009C61A2"/>
    <w:rsid w:val="009C6AE2"/>
    <w:rsid w:val="009C72E5"/>
    <w:rsid w:val="009C7FDE"/>
    <w:rsid w:val="009D2D5B"/>
    <w:rsid w:val="009D3ECF"/>
    <w:rsid w:val="009D4FBC"/>
    <w:rsid w:val="009D53BA"/>
    <w:rsid w:val="009D5DBB"/>
    <w:rsid w:val="009E0817"/>
    <w:rsid w:val="009E124A"/>
    <w:rsid w:val="009E24C6"/>
    <w:rsid w:val="009E2DDB"/>
    <w:rsid w:val="009E326D"/>
    <w:rsid w:val="009E5704"/>
    <w:rsid w:val="009F01B2"/>
    <w:rsid w:val="009F0B7A"/>
    <w:rsid w:val="009F42EE"/>
    <w:rsid w:val="009F4D22"/>
    <w:rsid w:val="009F598C"/>
    <w:rsid w:val="009F659D"/>
    <w:rsid w:val="009F695B"/>
    <w:rsid w:val="009F7511"/>
    <w:rsid w:val="009F7DCA"/>
    <w:rsid w:val="00A01099"/>
    <w:rsid w:val="00A0183D"/>
    <w:rsid w:val="00A03AB9"/>
    <w:rsid w:val="00A10CBE"/>
    <w:rsid w:val="00A11D58"/>
    <w:rsid w:val="00A1380B"/>
    <w:rsid w:val="00A13F4A"/>
    <w:rsid w:val="00A143B6"/>
    <w:rsid w:val="00A14BB4"/>
    <w:rsid w:val="00A1560F"/>
    <w:rsid w:val="00A16565"/>
    <w:rsid w:val="00A17DAE"/>
    <w:rsid w:val="00A216A8"/>
    <w:rsid w:val="00A234F6"/>
    <w:rsid w:val="00A23A7A"/>
    <w:rsid w:val="00A243FB"/>
    <w:rsid w:val="00A26F8E"/>
    <w:rsid w:val="00A27807"/>
    <w:rsid w:val="00A304BA"/>
    <w:rsid w:val="00A306DD"/>
    <w:rsid w:val="00A311A7"/>
    <w:rsid w:val="00A31B71"/>
    <w:rsid w:val="00A32995"/>
    <w:rsid w:val="00A35A96"/>
    <w:rsid w:val="00A36279"/>
    <w:rsid w:val="00A36BE5"/>
    <w:rsid w:val="00A37728"/>
    <w:rsid w:val="00A37A41"/>
    <w:rsid w:val="00A40F29"/>
    <w:rsid w:val="00A41589"/>
    <w:rsid w:val="00A41C90"/>
    <w:rsid w:val="00A42202"/>
    <w:rsid w:val="00A439BB"/>
    <w:rsid w:val="00A447CD"/>
    <w:rsid w:val="00A45414"/>
    <w:rsid w:val="00A51063"/>
    <w:rsid w:val="00A51C53"/>
    <w:rsid w:val="00A521AA"/>
    <w:rsid w:val="00A52F39"/>
    <w:rsid w:val="00A531AC"/>
    <w:rsid w:val="00A53530"/>
    <w:rsid w:val="00A542EC"/>
    <w:rsid w:val="00A550A4"/>
    <w:rsid w:val="00A556BC"/>
    <w:rsid w:val="00A55F2A"/>
    <w:rsid w:val="00A579CE"/>
    <w:rsid w:val="00A6061F"/>
    <w:rsid w:val="00A625AE"/>
    <w:rsid w:val="00A629A6"/>
    <w:rsid w:val="00A64437"/>
    <w:rsid w:val="00A6501F"/>
    <w:rsid w:val="00A67A88"/>
    <w:rsid w:val="00A70041"/>
    <w:rsid w:val="00A70DC7"/>
    <w:rsid w:val="00A71B6C"/>
    <w:rsid w:val="00A71ED8"/>
    <w:rsid w:val="00A72182"/>
    <w:rsid w:val="00A72C89"/>
    <w:rsid w:val="00A73B50"/>
    <w:rsid w:val="00A75008"/>
    <w:rsid w:val="00A756B1"/>
    <w:rsid w:val="00A7623F"/>
    <w:rsid w:val="00A76956"/>
    <w:rsid w:val="00A811DC"/>
    <w:rsid w:val="00A84324"/>
    <w:rsid w:val="00A8439C"/>
    <w:rsid w:val="00A8683C"/>
    <w:rsid w:val="00A876D9"/>
    <w:rsid w:val="00A87954"/>
    <w:rsid w:val="00A87964"/>
    <w:rsid w:val="00A91F92"/>
    <w:rsid w:val="00A92029"/>
    <w:rsid w:val="00A92691"/>
    <w:rsid w:val="00A929C5"/>
    <w:rsid w:val="00A92FE5"/>
    <w:rsid w:val="00A93232"/>
    <w:rsid w:val="00A94C88"/>
    <w:rsid w:val="00A964DB"/>
    <w:rsid w:val="00AA06BE"/>
    <w:rsid w:val="00AA0734"/>
    <w:rsid w:val="00AA0BA1"/>
    <w:rsid w:val="00AA3567"/>
    <w:rsid w:val="00AA4869"/>
    <w:rsid w:val="00AA4BEA"/>
    <w:rsid w:val="00AA5366"/>
    <w:rsid w:val="00AA55D7"/>
    <w:rsid w:val="00AA5FB7"/>
    <w:rsid w:val="00AA7C9E"/>
    <w:rsid w:val="00AA7DAB"/>
    <w:rsid w:val="00AB1998"/>
    <w:rsid w:val="00AB2108"/>
    <w:rsid w:val="00AB2E01"/>
    <w:rsid w:val="00AB361C"/>
    <w:rsid w:val="00AB5D38"/>
    <w:rsid w:val="00AB605F"/>
    <w:rsid w:val="00AB74B8"/>
    <w:rsid w:val="00AB78DB"/>
    <w:rsid w:val="00AB7A8D"/>
    <w:rsid w:val="00AC017A"/>
    <w:rsid w:val="00AC0C83"/>
    <w:rsid w:val="00AC1A6B"/>
    <w:rsid w:val="00AC258A"/>
    <w:rsid w:val="00AC3199"/>
    <w:rsid w:val="00AC34F5"/>
    <w:rsid w:val="00AC4850"/>
    <w:rsid w:val="00AC4895"/>
    <w:rsid w:val="00AC4C4F"/>
    <w:rsid w:val="00AC5257"/>
    <w:rsid w:val="00AC551D"/>
    <w:rsid w:val="00AC58DC"/>
    <w:rsid w:val="00AC768B"/>
    <w:rsid w:val="00AD065C"/>
    <w:rsid w:val="00AD10B7"/>
    <w:rsid w:val="00AD16E4"/>
    <w:rsid w:val="00AD236E"/>
    <w:rsid w:val="00AD3BCA"/>
    <w:rsid w:val="00AD4FF7"/>
    <w:rsid w:val="00AD6632"/>
    <w:rsid w:val="00AD6825"/>
    <w:rsid w:val="00AD7353"/>
    <w:rsid w:val="00AD7A6C"/>
    <w:rsid w:val="00AE04C9"/>
    <w:rsid w:val="00AE0627"/>
    <w:rsid w:val="00AE0BA1"/>
    <w:rsid w:val="00AE1C46"/>
    <w:rsid w:val="00AE24E6"/>
    <w:rsid w:val="00AE2BF4"/>
    <w:rsid w:val="00AE30A1"/>
    <w:rsid w:val="00AE3309"/>
    <w:rsid w:val="00AE3442"/>
    <w:rsid w:val="00AE3A45"/>
    <w:rsid w:val="00AE4083"/>
    <w:rsid w:val="00AE491C"/>
    <w:rsid w:val="00AE57AA"/>
    <w:rsid w:val="00AE6132"/>
    <w:rsid w:val="00AE6B49"/>
    <w:rsid w:val="00AE6D1A"/>
    <w:rsid w:val="00AE7607"/>
    <w:rsid w:val="00AE77BE"/>
    <w:rsid w:val="00AF1E48"/>
    <w:rsid w:val="00AF2230"/>
    <w:rsid w:val="00AF2B5A"/>
    <w:rsid w:val="00AF42D4"/>
    <w:rsid w:val="00AF7D17"/>
    <w:rsid w:val="00B01281"/>
    <w:rsid w:val="00B0252B"/>
    <w:rsid w:val="00B02B20"/>
    <w:rsid w:val="00B046D9"/>
    <w:rsid w:val="00B056F6"/>
    <w:rsid w:val="00B0588B"/>
    <w:rsid w:val="00B06E28"/>
    <w:rsid w:val="00B07E35"/>
    <w:rsid w:val="00B11EF7"/>
    <w:rsid w:val="00B122F5"/>
    <w:rsid w:val="00B13813"/>
    <w:rsid w:val="00B147A7"/>
    <w:rsid w:val="00B14D8E"/>
    <w:rsid w:val="00B202A1"/>
    <w:rsid w:val="00B20721"/>
    <w:rsid w:val="00B2344E"/>
    <w:rsid w:val="00B26E2F"/>
    <w:rsid w:val="00B27DC4"/>
    <w:rsid w:val="00B3008E"/>
    <w:rsid w:val="00B3176D"/>
    <w:rsid w:val="00B34562"/>
    <w:rsid w:val="00B37499"/>
    <w:rsid w:val="00B4035D"/>
    <w:rsid w:val="00B408FB"/>
    <w:rsid w:val="00B41F42"/>
    <w:rsid w:val="00B438DA"/>
    <w:rsid w:val="00B469E5"/>
    <w:rsid w:val="00B50EFB"/>
    <w:rsid w:val="00B51521"/>
    <w:rsid w:val="00B5621D"/>
    <w:rsid w:val="00B60AA2"/>
    <w:rsid w:val="00B62ED5"/>
    <w:rsid w:val="00B634C2"/>
    <w:rsid w:val="00B63858"/>
    <w:rsid w:val="00B64BEA"/>
    <w:rsid w:val="00B709CB"/>
    <w:rsid w:val="00B716D0"/>
    <w:rsid w:val="00B7274F"/>
    <w:rsid w:val="00B734AD"/>
    <w:rsid w:val="00B770E3"/>
    <w:rsid w:val="00B77624"/>
    <w:rsid w:val="00B77846"/>
    <w:rsid w:val="00B83436"/>
    <w:rsid w:val="00B83DBE"/>
    <w:rsid w:val="00B83DE0"/>
    <w:rsid w:val="00B8433E"/>
    <w:rsid w:val="00B84636"/>
    <w:rsid w:val="00B84943"/>
    <w:rsid w:val="00B84A50"/>
    <w:rsid w:val="00B91194"/>
    <w:rsid w:val="00B918F8"/>
    <w:rsid w:val="00B92062"/>
    <w:rsid w:val="00B954FE"/>
    <w:rsid w:val="00B9587D"/>
    <w:rsid w:val="00B972D2"/>
    <w:rsid w:val="00BA11DB"/>
    <w:rsid w:val="00BA335A"/>
    <w:rsid w:val="00BA446C"/>
    <w:rsid w:val="00BA484A"/>
    <w:rsid w:val="00BA491D"/>
    <w:rsid w:val="00BA5C6C"/>
    <w:rsid w:val="00BA6985"/>
    <w:rsid w:val="00BA6FE5"/>
    <w:rsid w:val="00BA7B62"/>
    <w:rsid w:val="00BB0F57"/>
    <w:rsid w:val="00BB163E"/>
    <w:rsid w:val="00BB34C6"/>
    <w:rsid w:val="00BB3923"/>
    <w:rsid w:val="00BB46BC"/>
    <w:rsid w:val="00BB563B"/>
    <w:rsid w:val="00BB6167"/>
    <w:rsid w:val="00BB7DA9"/>
    <w:rsid w:val="00BB7EC9"/>
    <w:rsid w:val="00BC2F40"/>
    <w:rsid w:val="00BC3256"/>
    <w:rsid w:val="00BC3F66"/>
    <w:rsid w:val="00BC4903"/>
    <w:rsid w:val="00BC4DEB"/>
    <w:rsid w:val="00BC4FAC"/>
    <w:rsid w:val="00BC5756"/>
    <w:rsid w:val="00BC6393"/>
    <w:rsid w:val="00BC69E1"/>
    <w:rsid w:val="00BD0DC7"/>
    <w:rsid w:val="00BD1281"/>
    <w:rsid w:val="00BD2817"/>
    <w:rsid w:val="00BE0330"/>
    <w:rsid w:val="00BE39AC"/>
    <w:rsid w:val="00BE41D9"/>
    <w:rsid w:val="00BE6EDF"/>
    <w:rsid w:val="00BF05E8"/>
    <w:rsid w:val="00BF2283"/>
    <w:rsid w:val="00BF244E"/>
    <w:rsid w:val="00BF487F"/>
    <w:rsid w:val="00BF5092"/>
    <w:rsid w:val="00BF7827"/>
    <w:rsid w:val="00BF7B96"/>
    <w:rsid w:val="00C00506"/>
    <w:rsid w:val="00C0143A"/>
    <w:rsid w:val="00C051C0"/>
    <w:rsid w:val="00C055BD"/>
    <w:rsid w:val="00C06DCE"/>
    <w:rsid w:val="00C129E6"/>
    <w:rsid w:val="00C12DE3"/>
    <w:rsid w:val="00C14649"/>
    <w:rsid w:val="00C15AAD"/>
    <w:rsid w:val="00C16119"/>
    <w:rsid w:val="00C16748"/>
    <w:rsid w:val="00C20437"/>
    <w:rsid w:val="00C21838"/>
    <w:rsid w:val="00C22C5C"/>
    <w:rsid w:val="00C236D1"/>
    <w:rsid w:val="00C26C19"/>
    <w:rsid w:val="00C2702A"/>
    <w:rsid w:val="00C3082F"/>
    <w:rsid w:val="00C32472"/>
    <w:rsid w:val="00C32E45"/>
    <w:rsid w:val="00C35B70"/>
    <w:rsid w:val="00C407A2"/>
    <w:rsid w:val="00C4373F"/>
    <w:rsid w:val="00C43F16"/>
    <w:rsid w:val="00C4732D"/>
    <w:rsid w:val="00C476E6"/>
    <w:rsid w:val="00C47D31"/>
    <w:rsid w:val="00C50DD7"/>
    <w:rsid w:val="00C515A6"/>
    <w:rsid w:val="00C518E3"/>
    <w:rsid w:val="00C53AE7"/>
    <w:rsid w:val="00C578C5"/>
    <w:rsid w:val="00C63658"/>
    <w:rsid w:val="00C668E7"/>
    <w:rsid w:val="00C66D24"/>
    <w:rsid w:val="00C66DB5"/>
    <w:rsid w:val="00C66F06"/>
    <w:rsid w:val="00C67203"/>
    <w:rsid w:val="00C70CDA"/>
    <w:rsid w:val="00C72066"/>
    <w:rsid w:val="00C734D3"/>
    <w:rsid w:val="00C73AA7"/>
    <w:rsid w:val="00C73C70"/>
    <w:rsid w:val="00C744D1"/>
    <w:rsid w:val="00C746A8"/>
    <w:rsid w:val="00C77AFE"/>
    <w:rsid w:val="00C808F2"/>
    <w:rsid w:val="00C81EBD"/>
    <w:rsid w:val="00C8220E"/>
    <w:rsid w:val="00C82ABB"/>
    <w:rsid w:val="00C83CBE"/>
    <w:rsid w:val="00C83EC6"/>
    <w:rsid w:val="00C862B9"/>
    <w:rsid w:val="00C87EDB"/>
    <w:rsid w:val="00C90942"/>
    <w:rsid w:val="00C91799"/>
    <w:rsid w:val="00C95483"/>
    <w:rsid w:val="00C95E9D"/>
    <w:rsid w:val="00CA0373"/>
    <w:rsid w:val="00CA03D5"/>
    <w:rsid w:val="00CA0DAB"/>
    <w:rsid w:val="00CA1690"/>
    <w:rsid w:val="00CA2BEA"/>
    <w:rsid w:val="00CA2E08"/>
    <w:rsid w:val="00CA3650"/>
    <w:rsid w:val="00CA5293"/>
    <w:rsid w:val="00CA5477"/>
    <w:rsid w:val="00CA664D"/>
    <w:rsid w:val="00CA77DB"/>
    <w:rsid w:val="00CA7877"/>
    <w:rsid w:val="00CA7C9A"/>
    <w:rsid w:val="00CB0301"/>
    <w:rsid w:val="00CB2137"/>
    <w:rsid w:val="00CB6D31"/>
    <w:rsid w:val="00CB71B0"/>
    <w:rsid w:val="00CC3451"/>
    <w:rsid w:val="00CC358E"/>
    <w:rsid w:val="00CC4249"/>
    <w:rsid w:val="00CC6130"/>
    <w:rsid w:val="00CC62A3"/>
    <w:rsid w:val="00CC6BD9"/>
    <w:rsid w:val="00CC6E32"/>
    <w:rsid w:val="00CD02B6"/>
    <w:rsid w:val="00CD0909"/>
    <w:rsid w:val="00CD2579"/>
    <w:rsid w:val="00CD2624"/>
    <w:rsid w:val="00CD39DD"/>
    <w:rsid w:val="00CD478D"/>
    <w:rsid w:val="00CD4D5B"/>
    <w:rsid w:val="00CD594D"/>
    <w:rsid w:val="00CD646E"/>
    <w:rsid w:val="00CD69C6"/>
    <w:rsid w:val="00CD6F6A"/>
    <w:rsid w:val="00CD79F9"/>
    <w:rsid w:val="00CE29A4"/>
    <w:rsid w:val="00CE42E7"/>
    <w:rsid w:val="00CE4B8D"/>
    <w:rsid w:val="00CE538A"/>
    <w:rsid w:val="00CE6B17"/>
    <w:rsid w:val="00CE745E"/>
    <w:rsid w:val="00CF04D3"/>
    <w:rsid w:val="00CF1354"/>
    <w:rsid w:val="00CF1439"/>
    <w:rsid w:val="00CF2B82"/>
    <w:rsid w:val="00CF3FFD"/>
    <w:rsid w:val="00CF42AC"/>
    <w:rsid w:val="00CF4B55"/>
    <w:rsid w:val="00CF6081"/>
    <w:rsid w:val="00CF6754"/>
    <w:rsid w:val="00CF7A3A"/>
    <w:rsid w:val="00D00BB9"/>
    <w:rsid w:val="00D00FCF"/>
    <w:rsid w:val="00D01B86"/>
    <w:rsid w:val="00D04D86"/>
    <w:rsid w:val="00D05750"/>
    <w:rsid w:val="00D06BCB"/>
    <w:rsid w:val="00D10952"/>
    <w:rsid w:val="00D11D5C"/>
    <w:rsid w:val="00D12163"/>
    <w:rsid w:val="00D123C7"/>
    <w:rsid w:val="00D12EE6"/>
    <w:rsid w:val="00D14752"/>
    <w:rsid w:val="00D15C6B"/>
    <w:rsid w:val="00D16988"/>
    <w:rsid w:val="00D17BA4"/>
    <w:rsid w:val="00D21155"/>
    <w:rsid w:val="00D21AE5"/>
    <w:rsid w:val="00D22376"/>
    <w:rsid w:val="00D22D84"/>
    <w:rsid w:val="00D22F7F"/>
    <w:rsid w:val="00D25C59"/>
    <w:rsid w:val="00D27FEE"/>
    <w:rsid w:val="00D303DF"/>
    <w:rsid w:val="00D31BE3"/>
    <w:rsid w:val="00D32CB8"/>
    <w:rsid w:val="00D33A20"/>
    <w:rsid w:val="00D348C5"/>
    <w:rsid w:val="00D35D1A"/>
    <w:rsid w:val="00D36D75"/>
    <w:rsid w:val="00D370AE"/>
    <w:rsid w:val="00D4092F"/>
    <w:rsid w:val="00D41ABC"/>
    <w:rsid w:val="00D44D7D"/>
    <w:rsid w:val="00D4661F"/>
    <w:rsid w:val="00D47EC3"/>
    <w:rsid w:val="00D504CC"/>
    <w:rsid w:val="00D51055"/>
    <w:rsid w:val="00D527B2"/>
    <w:rsid w:val="00D5574C"/>
    <w:rsid w:val="00D61B33"/>
    <w:rsid w:val="00D6582E"/>
    <w:rsid w:val="00D65B2B"/>
    <w:rsid w:val="00D66139"/>
    <w:rsid w:val="00D664F6"/>
    <w:rsid w:val="00D670A5"/>
    <w:rsid w:val="00D67815"/>
    <w:rsid w:val="00D71B2E"/>
    <w:rsid w:val="00D71CE4"/>
    <w:rsid w:val="00D72D5E"/>
    <w:rsid w:val="00D745B3"/>
    <w:rsid w:val="00D8041F"/>
    <w:rsid w:val="00D81A0A"/>
    <w:rsid w:val="00D81CA8"/>
    <w:rsid w:val="00D81CFE"/>
    <w:rsid w:val="00D82F7B"/>
    <w:rsid w:val="00D8370B"/>
    <w:rsid w:val="00D87618"/>
    <w:rsid w:val="00D90E3E"/>
    <w:rsid w:val="00D91CBC"/>
    <w:rsid w:val="00D93D09"/>
    <w:rsid w:val="00D94508"/>
    <w:rsid w:val="00D94630"/>
    <w:rsid w:val="00D9464B"/>
    <w:rsid w:val="00D96734"/>
    <w:rsid w:val="00D9680B"/>
    <w:rsid w:val="00D97146"/>
    <w:rsid w:val="00DA0909"/>
    <w:rsid w:val="00DA143E"/>
    <w:rsid w:val="00DA15A8"/>
    <w:rsid w:val="00DA4F4E"/>
    <w:rsid w:val="00DB061D"/>
    <w:rsid w:val="00DB2024"/>
    <w:rsid w:val="00DB5E64"/>
    <w:rsid w:val="00DB7064"/>
    <w:rsid w:val="00DB7C7B"/>
    <w:rsid w:val="00DC0985"/>
    <w:rsid w:val="00DC3AA6"/>
    <w:rsid w:val="00DC425E"/>
    <w:rsid w:val="00DC47AB"/>
    <w:rsid w:val="00DC501F"/>
    <w:rsid w:val="00DC6E86"/>
    <w:rsid w:val="00DC6EC8"/>
    <w:rsid w:val="00DC7EAC"/>
    <w:rsid w:val="00DD1CCA"/>
    <w:rsid w:val="00DD3199"/>
    <w:rsid w:val="00DD4EF0"/>
    <w:rsid w:val="00DD53AA"/>
    <w:rsid w:val="00DD5D55"/>
    <w:rsid w:val="00DD6D8F"/>
    <w:rsid w:val="00DE02EA"/>
    <w:rsid w:val="00DE04D3"/>
    <w:rsid w:val="00DE0ECE"/>
    <w:rsid w:val="00DE1D10"/>
    <w:rsid w:val="00DE22D9"/>
    <w:rsid w:val="00DE4115"/>
    <w:rsid w:val="00DE46D3"/>
    <w:rsid w:val="00DE6F73"/>
    <w:rsid w:val="00DF0345"/>
    <w:rsid w:val="00DF27C5"/>
    <w:rsid w:val="00DF2E47"/>
    <w:rsid w:val="00DF3437"/>
    <w:rsid w:val="00DF4470"/>
    <w:rsid w:val="00DF5E99"/>
    <w:rsid w:val="00DF74D6"/>
    <w:rsid w:val="00DF7FEE"/>
    <w:rsid w:val="00E0024D"/>
    <w:rsid w:val="00E02CE4"/>
    <w:rsid w:val="00E04FC8"/>
    <w:rsid w:val="00E064EB"/>
    <w:rsid w:val="00E10126"/>
    <w:rsid w:val="00E10218"/>
    <w:rsid w:val="00E106A6"/>
    <w:rsid w:val="00E1090F"/>
    <w:rsid w:val="00E16507"/>
    <w:rsid w:val="00E175C4"/>
    <w:rsid w:val="00E17C41"/>
    <w:rsid w:val="00E20DED"/>
    <w:rsid w:val="00E21271"/>
    <w:rsid w:val="00E23107"/>
    <w:rsid w:val="00E24370"/>
    <w:rsid w:val="00E26819"/>
    <w:rsid w:val="00E26CB0"/>
    <w:rsid w:val="00E26EC6"/>
    <w:rsid w:val="00E273CE"/>
    <w:rsid w:val="00E312C1"/>
    <w:rsid w:val="00E36CEB"/>
    <w:rsid w:val="00E40A3B"/>
    <w:rsid w:val="00E428EE"/>
    <w:rsid w:val="00E42FAF"/>
    <w:rsid w:val="00E43905"/>
    <w:rsid w:val="00E43CEF"/>
    <w:rsid w:val="00E44DF9"/>
    <w:rsid w:val="00E45B00"/>
    <w:rsid w:val="00E45BF6"/>
    <w:rsid w:val="00E47A7A"/>
    <w:rsid w:val="00E5203A"/>
    <w:rsid w:val="00E52AC6"/>
    <w:rsid w:val="00E52DF8"/>
    <w:rsid w:val="00E565E1"/>
    <w:rsid w:val="00E6043C"/>
    <w:rsid w:val="00E60D7C"/>
    <w:rsid w:val="00E61C80"/>
    <w:rsid w:val="00E61DBA"/>
    <w:rsid w:val="00E63F86"/>
    <w:rsid w:val="00E64B07"/>
    <w:rsid w:val="00E72005"/>
    <w:rsid w:val="00E72707"/>
    <w:rsid w:val="00E74417"/>
    <w:rsid w:val="00E75162"/>
    <w:rsid w:val="00E75244"/>
    <w:rsid w:val="00E753E1"/>
    <w:rsid w:val="00E759DF"/>
    <w:rsid w:val="00E771CF"/>
    <w:rsid w:val="00E809A4"/>
    <w:rsid w:val="00E83DBB"/>
    <w:rsid w:val="00E851E0"/>
    <w:rsid w:val="00E87EFA"/>
    <w:rsid w:val="00E90401"/>
    <w:rsid w:val="00E9124E"/>
    <w:rsid w:val="00E9747B"/>
    <w:rsid w:val="00EA1191"/>
    <w:rsid w:val="00EA24B6"/>
    <w:rsid w:val="00EA555A"/>
    <w:rsid w:val="00EA6416"/>
    <w:rsid w:val="00EA75F6"/>
    <w:rsid w:val="00EB09BB"/>
    <w:rsid w:val="00EB0E1C"/>
    <w:rsid w:val="00EB1C0E"/>
    <w:rsid w:val="00EB2543"/>
    <w:rsid w:val="00EB27A7"/>
    <w:rsid w:val="00EB79F8"/>
    <w:rsid w:val="00EC0197"/>
    <w:rsid w:val="00EC03D9"/>
    <w:rsid w:val="00EC2B36"/>
    <w:rsid w:val="00EC2D00"/>
    <w:rsid w:val="00EC4809"/>
    <w:rsid w:val="00EC7595"/>
    <w:rsid w:val="00EC7895"/>
    <w:rsid w:val="00ED1373"/>
    <w:rsid w:val="00ED529D"/>
    <w:rsid w:val="00ED640A"/>
    <w:rsid w:val="00ED6C76"/>
    <w:rsid w:val="00ED76B9"/>
    <w:rsid w:val="00ED7EFB"/>
    <w:rsid w:val="00EE0921"/>
    <w:rsid w:val="00EE0ED8"/>
    <w:rsid w:val="00EE2F7B"/>
    <w:rsid w:val="00EE456A"/>
    <w:rsid w:val="00EF0346"/>
    <w:rsid w:val="00EF07A6"/>
    <w:rsid w:val="00EF1D6E"/>
    <w:rsid w:val="00EF47C2"/>
    <w:rsid w:val="00EF62EB"/>
    <w:rsid w:val="00EF7E44"/>
    <w:rsid w:val="00F000A8"/>
    <w:rsid w:val="00F00FF2"/>
    <w:rsid w:val="00F011CB"/>
    <w:rsid w:val="00F01EDF"/>
    <w:rsid w:val="00F01F1C"/>
    <w:rsid w:val="00F03C9F"/>
    <w:rsid w:val="00F06ECF"/>
    <w:rsid w:val="00F06F2A"/>
    <w:rsid w:val="00F10506"/>
    <w:rsid w:val="00F1295A"/>
    <w:rsid w:val="00F1305F"/>
    <w:rsid w:val="00F14151"/>
    <w:rsid w:val="00F145BE"/>
    <w:rsid w:val="00F14FB0"/>
    <w:rsid w:val="00F216AA"/>
    <w:rsid w:val="00F27114"/>
    <w:rsid w:val="00F30237"/>
    <w:rsid w:val="00F31864"/>
    <w:rsid w:val="00F33412"/>
    <w:rsid w:val="00F350E0"/>
    <w:rsid w:val="00F370F9"/>
    <w:rsid w:val="00F37E2A"/>
    <w:rsid w:val="00F41656"/>
    <w:rsid w:val="00F437D8"/>
    <w:rsid w:val="00F441B6"/>
    <w:rsid w:val="00F4532C"/>
    <w:rsid w:val="00F47530"/>
    <w:rsid w:val="00F50A24"/>
    <w:rsid w:val="00F51AB0"/>
    <w:rsid w:val="00F51E81"/>
    <w:rsid w:val="00F52EF9"/>
    <w:rsid w:val="00F5694D"/>
    <w:rsid w:val="00F571BD"/>
    <w:rsid w:val="00F63612"/>
    <w:rsid w:val="00F64754"/>
    <w:rsid w:val="00F64789"/>
    <w:rsid w:val="00F65F59"/>
    <w:rsid w:val="00F675DD"/>
    <w:rsid w:val="00F70018"/>
    <w:rsid w:val="00F70FB7"/>
    <w:rsid w:val="00F7360B"/>
    <w:rsid w:val="00F73624"/>
    <w:rsid w:val="00F7533C"/>
    <w:rsid w:val="00F767F6"/>
    <w:rsid w:val="00F76E82"/>
    <w:rsid w:val="00F77A66"/>
    <w:rsid w:val="00F77C68"/>
    <w:rsid w:val="00F77D86"/>
    <w:rsid w:val="00F77F6D"/>
    <w:rsid w:val="00F81937"/>
    <w:rsid w:val="00F837B7"/>
    <w:rsid w:val="00F84776"/>
    <w:rsid w:val="00F9055C"/>
    <w:rsid w:val="00F92530"/>
    <w:rsid w:val="00F932E9"/>
    <w:rsid w:val="00F9431D"/>
    <w:rsid w:val="00F94CA2"/>
    <w:rsid w:val="00F96A3A"/>
    <w:rsid w:val="00FA0D46"/>
    <w:rsid w:val="00FA320D"/>
    <w:rsid w:val="00FA3E5E"/>
    <w:rsid w:val="00FA750E"/>
    <w:rsid w:val="00FB0C90"/>
    <w:rsid w:val="00FB470F"/>
    <w:rsid w:val="00FB5A13"/>
    <w:rsid w:val="00FB643B"/>
    <w:rsid w:val="00FC2CF0"/>
    <w:rsid w:val="00FC3B13"/>
    <w:rsid w:val="00FC5538"/>
    <w:rsid w:val="00FC6C16"/>
    <w:rsid w:val="00FD0655"/>
    <w:rsid w:val="00FD0F15"/>
    <w:rsid w:val="00FD2A60"/>
    <w:rsid w:val="00FD38E0"/>
    <w:rsid w:val="00FD47D5"/>
    <w:rsid w:val="00FD57AD"/>
    <w:rsid w:val="00FD73C4"/>
    <w:rsid w:val="00FD7A10"/>
    <w:rsid w:val="00FD7A5B"/>
    <w:rsid w:val="00FE0789"/>
    <w:rsid w:val="00FE23E8"/>
    <w:rsid w:val="00FE4EDD"/>
    <w:rsid w:val="00FE52B5"/>
    <w:rsid w:val="00FE5DD6"/>
    <w:rsid w:val="00FE7513"/>
    <w:rsid w:val="00FE753C"/>
    <w:rsid w:val="00FF006C"/>
    <w:rsid w:val="00FF09D9"/>
    <w:rsid w:val="00FF0E84"/>
    <w:rsid w:val="00FF197C"/>
    <w:rsid w:val="00FF1C86"/>
    <w:rsid w:val="00FF1ED0"/>
    <w:rsid w:val="00FF4DA5"/>
    <w:rsid w:val="00FF790F"/>
    <w:rsid w:val="00FF7A98"/>
    <w:rsid w:val="00FF7F0E"/>
    <w:rsid w:val="01042CD0"/>
    <w:rsid w:val="01120C90"/>
    <w:rsid w:val="01172420"/>
    <w:rsid w:val="012074D9"/>
    <w:rsid w:val="012C75F4"/>
    <w:rsid w:val="01375F44"/>
    <w:rsid w:val="013D3D9C"/>
    <w:rsid w:val="01437C9C"/>
    <w:rsid w:val="015F0362"/>
    <w:rsid w:val="01606AB3"/>
    <w:rsid w:val="016C06F0"/>
    <w:rsid w:val="016F0A91"/>
    <w:rsid w:val="01763BCE"/>
    <w:rsid w:val="017E2A82"/>
    <w:rsid w:val="01834102"/>
    <w:rsid w:val="019B1788"/>
    <w:rsid w:val="019B3110"/>
    <w:rsid w:val="01AC3A93"/>
    <w:rsid w:val="01C26E13"/>
    <w:rsid w:val="01C4124F"/>
    <w:rsid w:val="01C94D40"/>
    <w:rsid w:val="01CD4AF3"/>
    <w:rsid w:val="01D6466C"/>
    <w:rsid w:val="01DF1713"/>
    <w:rsid w:val="01E810C5"/>
    <w:rsid w:val="01EB2C30"/>
    <w:rsid w:val="020301AB"/>
    <w:rsid w:val="020823CE"/>
    <w:rsid w:val="020A1FFD"/>
    <w:rsid w:val="021146F3"/>
    <w:rsid w:val="02122FA3"/>
    <w:rsid w:val="02154D12"/>
    <w:rsid w:val="021B0C64"/>
    <w:rsid w:val="0224362A"/>
    <w:rsid w:val="022510CF"/>
    <w:rsid w:val="0233386D"/>
    <w:rsid w:val="02404CE1"/>
    <w:rsid w:val="024B6E08"/>
    <w:rsid w:val="024C2B98"/>
    <w:rsid w:val="024E0ADE"/>
    <w:rsid w:val="02511F45"/>
    <w:rsid w:val="025C2FD5"/>
    <w:rsid w:val="025F5102"/>
    <w:rsid w:val="029045F8"/>
    <w:rsid w:val="029712F4"/>
    <w:rsid w:val="02AF383B"/>
    <w:rsid w:val="02B77694"/>
    <w:rsid w:val="02BF3353"/>
    <w:rsid w:val="02BF3944"/>
    <w:rsid w:val="02C6594E"/>
    <w:rsid w:val="02C80459"/>
    <w:rsid w:val="02CD66D8"/>
    <w:rsid w:val="02D2470A"/>
    <w:rsid w:val="02E071D1"/>
    <w:rsid w:val="02E521CC"/>
    <w:rsid w:val="02ED4536"/>
    <w:rsid w:val="03082F4B"/>
    <w:rsid w:val="03084CFA"/>
    <w:rsid w:val="030F77BE"/>
    <w:rsid w:val="031052AE"/>
    <w:rsid w:val="031713E0"/>
    <w:rsid w:val="031E02DF"/>
    <w:rsid w:val="0321753B"/>
    <w:rsid w:val="03223A5F"/>
    <w:rsid w:val="03233832"/>
    <w:rsid w:val="0328452E"/>
    <w:rsid w:val="032A0F70"/>
    <w:rsid w:val="032C5D5A"/>
    <w:rsid w:val="03307802"/>
    <w:rsid w:val="03393105"/>
    <w:rsid w:val="03396068"/>
    <w:rsid w:val="033B7FF0"/>
    <w:rsid w:val="03411FB9"/>
    <w:rsid w:val="034C108A"/>
    <w:rsid w:val="034C2738"/>
    <w:rsid w:val="0355702C"/>
    <w:rsid w:val="035B4A32"/>
    <w:rsid w:val="03624BC5"/>
    <w:rsid w:val="0364709B"/>
    <w:rsid w:val="03661A20"/>
    <w:rsid w:val="0375238B"/>
    <w:rsid w:val="03926D3A"/>
    <w:rsid w:val="039465A5"/>
    <w:rsid w:val="03A975B1"/>
    <w:rsid w:val="03AE4446"/>
    <w:rsid w:val="03BA492B"/>
    <w:rsid w:val="03CB57AF"/>
    <w:rsid w:val="03CE2CFB"/>
    <w:rsid w:val="03D265BB"/>
    <w:rsid w:val="03DB0660"/>
    <w:rsid w:val="03EA08A3"/>
    <w:rsid w:val="03EF5D7C"/>
    <w:rsid w:val="03F82C17"/>
    <w:rsid w:val="041C0771"/>
    <w:rsid w:val="042773EC"/>
    <w:rsid w:val="042D4F20"/>
    <w:rsid w:val="045C10A8"/>
    <w:rsid w:val="045C11E0"/>
    <w:rsid w:val="045C354F"/>
    <w:rsid w:val="04654E0D"/>
    <w:rsid w:val="047A4A9A"/>
    <w:rsid w:val="047B097B"/>
    <w:rsid w:val="04904D85"/>
    <w:rsid w:val="049A5E25"/>
    <w:rsid w:val="049C16D0"/>
    <w:rsid w:val="04AD1386"/>
    <w:rsid w:val="04AD7C90"/>
    <w:rsid w:val="04B102AC"/>
    <w:rsid w:val="04C64E6C"/>
    <w:rsid w:val="04C73189"/>
    <w:rsid w:val="04D255BF"/>
    <w:rsid w:val="04D27993"/>
    <w:rsid w:val="04D56515"/>
    <w:rsid w:val="04DA0EA4"/>
    <w:rsid w:val="04E41122"/>
    <w:rsid w:val="04EF3956"/>
    <w:rsid w:val="05083278"/>
    <w:rsid w:val="050C341B"/>
    <w:rsid w:val="050E482A"/>
    <w:rsid w:val="051745A4"/>
    <w:rsid w:val="052D2F90"/>
    <w:rsid w:val="05341990"/>
    <w:rsid w:val="053E3036"/>
    <w:rsid w:val="053F19F4"/>
    <w:rsid w:val="05400B74"/>
    <w:rsid w:val="05453E88"/>
    <w:rsid w:val="054B4506"/>
    <w:rsid w:val="055F6E63"/>
    <w:rsid w:val="05666E50"/>
    <w:rsid w:val="056C2FE8"/>
    <w:rsid w:val="056D5660"/>
    <w:rsid w:val="056E1A8C"/>
    <w:rsid w:val="05715C38"/>
    <w:rsid w:val="057273C1"/>
    <w:rsid w:val="057853E5"/>
    <w:rsid w:val="05790131"/>
    <w:rsid w:val="05802019"/>
    <w:rsid w:val="058C526B"/>
    <w:rsid w:val="058F0208"/>
    <w:rsid w:val="059309C7"/>
    <w:rsid w:val="05960333"/>
    <w:rsid w:val="05A55254"/>
    <w:rsid w:val="05CF2EE0"/>
    <w:rsid w:val="05D55681"/>
    <w:rsid w:val="05E02CA7"/>
    <w:rsid w:val="05E4064E"/>
    <w:rsid w:val="05FC6C80"/>
    <w:rsid w:val="05FF6AEF"/>
    <w:rsid w:val="06071298"/>
    <w:rsid w:val="06093CD5"/>
    <w:rsid w:val="060C1326"/>
    <w:rsid w:val="060F6816"/>
    <w:rsid w:val="061A3B75"/>
    <w:rsid w:val="061D0ABC"/>
    <w:rsid w:val="062B1AF9"/>
    <w:rsid w:val="0641694F"/>
    <w:rsid w:val="064424ED"/>
    <w:rsid w:val="064E4408"/>
    <w:rsid w:val="065A3F7A"/>
    <w:rsid w:val="066C1A43"/>
    <w:rsid w:val="067441A7"/>
    <w:rsid w:val="067508F8"/>
    <w:rsid w:val="067F3206"/>
    <w:rsid w:val="068520F5"/>
    <w:rsid w:val="06970A17"/>
    <w:rsid w:val="06AA2CA0"/>
    <w:rsid w:val="06BA4756"/>
    <w:rsid w:val="06BB1AE7"/>
    <w:rsid w:val="06D0596D"/>
    <w:rsid w:val="06DA4F6C"/>
    <w:rsid w:val="06E91B74"/>
    <w:rsid w:val="06F01406"/>
    <w:rsid w:val="06FB3BB9"/>
    <w:rsid w:val="06FE1F6E"/>
    <w:rsid w:val="0709506B"/>
    <w:rsid w:val="07106F60"/>
    <w:rsid w:val="07253BE8"/>
    <w:rsid w:val="072559C3"/>
    <w:rsid w:val="07263625"/>
    <w:rsid w:val="07372051"/>
    <w:rsid w:val="073F4268"/>
    <w:rsid w:val="074068B5"/>
    <w:rsid w:val="07412E22"/>
    <w:rsid w:val="074A1304"/>
    <w:rsid w:val="074B78AB"/>
    <w:rsid w:val="074E4E7E"/>
    <w:rsid w:val="07632E46"/>
    <w:rsid w:val="076525A6"/>
    <w:rsid w:val="076656C8"/>
    <w:rsid w:val="07677C87"/>
    <w:rsid w:val="076E52A0"/>
    <w:rsid w:val="077215E2"/>
    <w:rsid w:val="07723089"/>
    <w:rsid w:val="0773068B"/>
    <w:rsid w:val="077961C6"/>
    <w:rsid w:val="077D5121"/>
    <w:rsid w:val="07802BAE"/>
    <w:rsid w:val="079052BE"/>
    <w:rsid w:val="07946B7E"/>
    <w:rsid w:val="079B148E"/>
    <w:rsid w:val="07AD52BC"/>
    <w:rsid w:val="07BF7D0C"/>
    <w:rsid w:val="07C2713D"/>
    <w:rsid w:val="07CE335A"/>
    <w:rsid w:val="07D17DB0"/>
    <w:rsid w:val="07DA6B74"/>
    <w:rsid w:val="07DD731F"/>
    <w:rsid w:val="0811128F"/>
    <w:rsid w:val="08150928"/>
    <w:rsid w:val="081606E4"/>
    <w:rsid w:val="084F1F2D"/>
    <w:rsid w:val="08670714"/>
    <w:rsid w:val="086C7AD9"/>
    <w:rsid w:val="08701078"/>
    <w:rsid w:val="087150EF"/>
    <w:rsid w:val="08763003"/>
    <w:rsid w:val="08766BA9"/>
    <w:rsid w:val="0877112C"/>
    <w:rsid w:val="087A7220"/>
    <w:rsid w:val="08847499"/>
    <w:rsid w:val="08945862"/>
    <w:rsid w:val="08A1543E"/>
    <w:rsid w:val="08A31003"/>
    <w:rsid w:val="08AA4787"/>
    <w:rsid w:val="08C23ACD"/>
    <w:rsid w:val="08CB577B"/>
    <w:rsid w:val="08CD3E4A"/>
    <w:rsid w:val="08CF4EC8"/>
    <w:rsid w:val="08D03C0B"/>
    <w:rsid w:val="08D5567E"/>
    <w:rsid w:val="08D625B4"/>
    <w:rsid w:val="08DA2C94"/>
    <w:rsid w:val="08E01860"/>
    <w:rsid w:val="08F04F18"/>
    <w:rsid w:val="08F42DEB"/>
    <w:rsid w:val="08FB3710"/>
    <w:rsid w:val="09016C4F"/>
    <w:rsid w:val="091D2B09"/>
    <w:rsid w:val="09252034"/>
    <w:rsid w:val="0926237D"/>
    <w:rsid w:val="09272E50"/>
    <w:rsid w:val="09292971"/>
    <w:rsid w:val="092A1F87"/>
    <w:rsid w:val="092B4317"/>
    <w:rsid w:val="09353D5E"/>
    <w:rsid w:val="09416528"/>
    <w:rsid w:val="0946032A"/>
    <w:rsid w:val="09577F40"/>
    <w:rsid w:val="09606AFB"/>
    <w:rsid w:val="096E5786"/>
    <w:rsid w:val="09773E97"/>
    <w:rsid w:val="097B126C"/>
    <w:rsid w:val="097E0255"/>
    <w:rsid w:val="09866978"/>
    <w:rsid w:val="098A0278"/>
    <w:rsid w:val="099866AB"/>
    <w:rsid w:val="099C357D"/>
    <w:rsid w:val="09A6526C"/>
    <w:rsid w:val="09AB7EA9"/>
    <w:rsid w:val="09B070D9"/>
    <w:rsid w:val="09B44094"/>
    <w:rsid w:val="09C31CC2"/>
    <w:rsid w:val="09CB082F"/>
    <w:rsid w:val="09E0077E"/>
    <w:rsid w:val="09E40613"/>
    <w:rsid w:val="09EF1AF8"/>
    <w:rsid w:val="0A026946"/>
    <w:rsid w:val="0A050825"/>
    <w:rsid w:val="0A0754EC"/>
    <w:rsid w:val="0A0C5900"/>
    <w:rsid w:val="0A230872"/>
    <w:rsid w:val="0A2A19F9"/>
    <w:rsid w:val="0A2C5771"/>
    <w:rsid w:val="0A37378B"/>
    <w:rsid w:val="0A49096C"/>
    <w:rsid w:val="0A4D3B28"/>
    <w:rsid w:val="0A5140BE"/>
    <w:rsid w:val="0A542580"/>
    <w:rsid w:val="0A560642"/>
    <w:rsid w:val="0A560A40"/>
    <w:rsid w:val="0A56459C"/>
    <w:rsid w:val="0A5B5249"/>
    <w:rsid w:val="0A5F247E"/>
    <w:rsid w:val="0A7705F9"/>
    <w:rsid w:val="0A7D1FCD"/>
    <w:rsid w:val="0A7D5FCD"/>
    <w:rsid w:val="0A827830"/>
    <w:rsid w:val="0A8A3E1D"/>
    <w:rsid w:val="0A8D3D36"/>
    <w:rsid w:val="0ABA1F25"/>
    <w:rsid w:val="0ABB1E4C"/>
    <w:rsid w:val="0AC327A2"/>
    <w:rsid w:val="0AC97464"/>
    <w:rsid w:val="0ACE25E6"/>
    <w:rsid w:val="0ACE62BE"/>
    <w:rsid w:val="0AD36A37"/>
    <w:rsid w:val="0AD96AA5"/>
    <w:rsid w:val="0ADE1129"/>
    <w:rsid w:val="0AF46511"/>
    <w:rsid w:val="0AF46DF4"/>
    <w:rsid w:val="0AFF69E2"/>
    <w:rsid w:val="0B0A4206"/>
    <w:rsid w:val="0B0E4E77"/>
    <w:rsid w:val="0B132BA0"/>
    <w:rsid w:val="0B1921AE"/>
    <w:rsid w:val="0B1F27D5"/>
    <w:rsid w:val="0B272559"/>
    <w:rsid w:val="0B291CB1"/>
    <w:rsid w:val="0B2C354F"/>
    <w:rsid w:val="0B30718F"/>
    <w:rsid w:val="0B441E89"/>
    <w:rsid w:val="0B4B60CB"/>
    <w:rsid w:val="0B4F3093"/>
    <w:rsid w:val="0B4F6A40"/>
    <w:rsid w:val="0B5A1979"/>
    <w:rsid w:val="0B5D4AEE"/>
    <w:rsid w:val="0B6926EE"/>
    <w:rsid w:val="0B705B32"/>
    <w:rsid w:val="0B7338CA"/>
    <w:rsid w:val="0B74291B"/>
    <w:rsid w:val="0B756CA4"/>
    <w:rsid w:val="0B7E3891"/>
    <w:rsid w:val="0B865355"/>
    <w:rsid w:val="0B8A5061"/>
    <w:rsid w:val="0B8D10A3"/>
    <w:rsid w:val="0B8E420A"/>
    <w:rsid w:val="0B8F4572"/>
    <w:rsid w:val="0B9819CB"/>
    <w:rsid w:val="0BA37CB5"/>
    <w:rsid w:val="0BA80E28"/>
    <w:rsid w:val="0BAA224B"/>
    <w:rsid w:val="0BAE16A7"/>
    <w:rsid w:val="0BAF0AEB"/>
    <w:rsid w:val="0BB87CB6"/>
    <w:rsid w:val="0BBA4FFF"/>
    <w:rsid w:val="0BC576FF"/>
    <w:rsid w:val="0BD13EDE"/>
    <w:rsid w:val="0BD45938"/>
    <w:rsid w:val="0BE4011B"/>
    <w:rsid w:val="0BF6185F"/>
    <w:rsid w:val="0BFC5B06"/>
    <w:rsid w:val="0C0F50FC"/>
    <w:rsid w:val="0C1B1F88"/>
    <w:rsid w:val="0C282A69"/>
    <w:rsid w:val="0C352A96"/>
    <w:rsid w:val="0C390C5F"/>
    <w:rsid w:val="0C3E55C0"/>
    <w:rsid w:val="0C4602EC"/>
    <w:rsid w:val="0C4D7C21"/>
    <w:rsid w:val="0C52597B"/>
    <w:rsid w:val="0C5C7E64"/>
    <w:rsid w:val="0C760E9E"/>
    <w:rsid w:val="0C774366"/>
    <w:rsid w:val="0C830540"/>
    <w:rsid w:val="0C8D626F"/>
    <w:rsid w:val="0C950BBA"/>
    <w:rsid w:val="0C952C0D"/>
    <w:rsid w:val="0C9B32A1"/>
    <w:rsid w:val="0CA3764D"/>
    <w:rsid w:val="0CA91A44"/>
    <w:rsid w:val="0CAD246E"/>
    <w:rsid w:val="0CAF5113"/>
    <w:rsid w:val="0CB81F4E"/>
    <w:rsid w:val="0CDA2373"/>
    <w:rsid w:val="0CF35D55"/>
    <w:rsid w:val="0D02678E"/>
    <w:rsid w:val="0D0B39F3"/>
    <w:rsid w:val="0D1B08D0"/>
    <w:rsid w:val="0D1C170F"/>
    <w:rsid w:val="0D215336"/>
    <w:rsid w:val="0D272220"/>
    <w:rsid w:val="0D291003"/>
    <w:rsid w:val="0D2C31D3"/>
    <w:rsid w:val="0D3667B4"/>
    <w:rsid w:val="0D3B6C32"/>
    <w:rsid w:val="0D3D17EE"/>
    <w:rsid w:val="0D425611"/>
    <w:rsid w:val="0D4E5726"/>
    <w:rsid w:val="0D6E42F3"/>
    <w:rsid w:val="0D725CBB"/>
    <w:rsid w:val="0D911574"/>
    <w:rsid w:val="0D936CEF"/>
    <w:rsid w:val="0D9C008A"/>
    <w:rsid w:val="0DA63A8D"/>
    <w:rsid w:val="0DA97607"/>
    <w:rsid w:val="0DB203B8"/>
    <w:rsid w:val="0DBA5635"/>
    <w:rsid w:val="0DC11E2C"/>
    <w:rsid w:val="0DC12986"/>
    <w:rsid w:val="0DC420B3"/>
    <w:rsid w:val="0DCD6F07"/>
    <w:rsid w:val="0DD428FB"/>
    <w:rsid w:val="0DD50979"/>
    <w:rsid w:val="0DDF2AFB"/>
    <w:rsid w:val="0DE538C5"/>
    <w:rsid w:val="0DEE50E0"/>
    <w:rsid w:val="0DFE6596"/>
    <w:rsid w:val="0E0E12FC"/>
    <w:rsid w:val="0E1F7F7F"/>
    <w:rsid w:val="0E244CC8"/>
    <w:rsid w:val="0E2B3F92"/>
    <w:rsid w:val="0E2D7D0A"/>
    <w:rsid w:val="0E4110EA"/>
    <w:rsid w:val="0E5A03D3"/>
    <w:rsid w:val="0E5A6C74"/>
    <w:rsid w:val="0E5C414B"/>
    <w:rsid w:val="0E5F7DBA"/>
    <w:rsid w:val="0E690A92"/>
    <w:rsid w:val="0E6A0EEB"/>
    <w:rsid w:val="0E6F3E7F"/>
    <w:rsid w:val="0E733DEA"/>
    <w:rsid w:val="0E8D59F8"/>
    <w:rsid w:val="0E971BE7"/>
    <w:rsid w:val="0EA13166"/>
    <w:rsid w:val="0EAC77BA"/>
    <w:rsid w:val="0EB8489F"/>
    <w:rsid w:val="0EC02A16"/>
    <w:rsid w:val="0EC266A4"/>
    <w:rsid w:val="0EC56195"/>
    <w:rsid w:val="0EC87A33"/>
    <w:rsid w:val="0ECC4E23"/>
    <w:rsid w:val="0ECE1FF2"/>
    <w:rsid w:val="0ED660D8"/>
    <w:rsid w:val="0EDD7524"/>
    <w:rsid w:val="0EE96D2F"/>
    <w:rsid w:val="0EF66923"/>
    <w:rsid w:val="0F037A1F"/>
    <w:rsid w:val="0F0B1FC7"/>
    <w:rsid w:val="0F0C6F0A"/>
    <w:rsid w:val="0F1B65F8"/>
    <w:rsid w:val="0F1C7604"/>
    <w:rsid w:val="0F1F2E49"/>
    <w:rsid w:val="0F2E71B6"/>
    <w:rsid w:val="0F3302A5"/>
    <w:rsid w:val="0F381B7E"/>
    <w:rsid w:val="0F421593"/>
    <w:rsid w:val="0F4A6277"/>
    <w:rsid w:val="0F563A4D"/>
    <w:rsid w:val="0F5A2BBB"/>
    <w:rsid w:val="0F615EBD"/>
    <w:rsid w:val="0F651E25"/>
    <w:rsid w:val="0F90404D"/>
    <w:rsid w:val="0F915FB1"/>
    <w:rsid w:val="0F933920"/>
    <w:rsid w:val="0FA17E8F"/>
    <w:rsid w:val="0FB029A1"/>
    <w:rsid w:val="0FBA741E"/>
    <w:rsid w:val="0FBD50A5"/>
    <w:rsid w:val="0FD809A2"/>
    <w:rsid w:val="0FDC6702"/>
    <w:rsid w:val="0FF33DB9"/>
    <w:rsid w:val="0FFC7994"/>
    <w:rsid w:val="10016F8D"/>
    <w:rsid w:val="10073729"/>
    <w:rsid w:val="101521CC"/>
    <w:rsid w:val="10352EA6"/>
    <w:rsid w:val="1058367B"/>
    <w:rsid w:val="10593038"/>
    <w:rsid w:val="10623011"/>
    <w:rsid w:val="106D0892"/>
    <w:rsid w:val="10846A6A"/>
    <w:rsid w:val="108663C9"/>
    <w:rsid w:val="10892D31"/>
    <w:rsid w:val="109670D0"/>
    <w:rsid w:val="109B03CC"/>
    <w:rsid w:val="10AC3E01"/>
    <w:rsid w:val="10AD14B5"/>
    <w:rsid w:val="10B257D9"/>
    <w:rsid w:val="10B25BE9"/>
    <w:rsid w:val="10BE733F"/>
    <w:rsid w:val="10CB0F3C"/>
    <w:rsid w:val="10CD662D"/>
    <w:rsid w:val="10D73F5D"/>
    <w:rsid w:val="10E5667A"/>
    <w:rsid w:val="10E629C1"/>
    <w:rsid w:val="10F43AAD"/>
    <w:rsid w:val="10FA7DFA"/>
    <w:rsid w:val="10FB3690"/>
    <w:rsid w:val="110C3C07"/>
    <w:rsid w:val="11166833"/>
    <w:rsid w:val="1124581F"/>
    <w:rsid w:val="112C6057"/>
    <w:rsid w:val="112F26AB"/>
    <w:rsid w:val="114E2573"/>
    <w:rsid w:val="114F7DFE"/>
    <w:rsid w:val="11552B51"/>
    <w:rsid w:val="115630D4"/>
    <w:rsid w:val="115D13C5"/>
    <w:rsid w:val="116D5256"/>
    <w:rsid w:val="118007AD"/>
    <w:rsid w:val="118527D1"/>
    <w:rsid w:val="118934A9"/>
    <w:rsid w:val="118D75AB"/>
    <w:rsid w:val="119E41CA"/>
    <w:rsid w:val="119E577D"/>
    <w:rsid w:val="11A6798B"/>
    <w:rsid w:val="11A73A88"/>
    <w:rsid w:val="11B84582"/>
    <w:rsid w:val="11BE475B"/>
    <w:rsid w:val="11C07A3C"/>
    <w:rsid w:val="11DB182B"/>
    <w:rsid w:val="11DD37F5"/>
    <w:rsid w:val="11E15093"/>
    <w:rsid w:val="120F6A04"/>
    <w:rsid w:val="1218254E"/>
    <w:rsid w:val="12211934"/>
    <w:rsid w:val="1222745A"/>
    <w:rsid w:val="123025EC"/>
    <w:rsid w:val="12310876"/>
    <w:rsid w:val="12333415"/>
    <w:rsid w:val="123C2CD5"/>
    <w:rsid w:val="124D7C3A"/>
    <w:rsid w:val="12503FC7"/>
    <w:rsid w:val="12527679"/>
    <w:rsid w:val="125862AA"/>
    <w:rsid w:val="125B3754"/>
    <w:rsid w:val="126350AF"/>
    <w:rsid w:val="126D637A"/>
    <w:rsid w:val="12701739"/>
    <w:rsid w:val="12802925"/>
    <w:rsid w:val="12844016"/>
    <w:rsid w:val="12881288"/>
    <w:rsid w:val="12905890"/>
    <w:rsid w:val="12A833DE"/>
    <w:rsid w:val="12B60A17"/>
    <w:rsid w:val="12BC645D"/>
    <w:rsid w:val="12BD0EED"/>
    <w:rsid w:val="12C04AC8"/>
    <w:rsid w:val="12C34799"/>
    <w:rsid w:val="12DF51D6"/>
    <w:rsid w:val="12EF1A32"/>
    <w:rsid w:val="12FB7502"/>
    <w:rsid w:val="13047E2E"/>
    <w:rsid w:val="13054DB2"/>
    <w:rsid w:val="130D3620"/>
    <w:rsid w:val="130E0017"/>
    <w:rsid w:val="130F3E82"/>
    <w:rsid w:val="13156F14"/>
    <w:rsid w:val="131B53CF"/>
    <w:rsid w:val="133D0432"/>
    <w:rsid w:val="13491142"/>
    <w:rsid w:val="135461AD"/>
    <w:rsid w:val="135576AB"/>
    <w:rsid w:val="1356385F"/>
    <w:rsid w:val="13622F84"/>
    <w:rsid w:val="13685340"/>
    <w:rsid w:val="136917E4"/>
    <w:rsid w:val="136F494C"/>
    <w:rsid w:val="136F7839"/>
    <w:rsid w:val="13712EEF"/>
    <w:rsid w:val="1373130C"/>
    <w:rsid w:val="13743CE5"/>
    <w:rsid w:val="137E6912"/>
    <w:rsid w:val="13833692"/>
    <w:rsid w:val="13897E10"/>
    <w:rsid w:val="138D27B8"/>
    <w:rsid w:val="138D3326"/>
    <w:rsid w:val="139C4CD8"/>
    <w:rsid w:val="13A34A28"/>
    <w:rsid w:val="13A47626"/>
    <w:rsid w:val="13AE58B8"/>
    <w:rsid w:val="13B361D6"/>
    <w:rsid w:val="13BE2E61"/>
    <w:rsid w:val="13CE3D9C"/>
    <w:rsid w:val="13D668E8"/>
    <w:rsid w:val="13DA1C1E"/>
    <w:rsid w:val="13DB629F"/>
    <w:rsid w:val="13E56496"/>
    <w:rsid w:val="13EA2031"/>
    <w:rsid w:val="13EC6170"/>
    <w:rsid w:val="13F0416A"/>
    <w:rsid w:val="14020894"/>
    <w:rsid w:val="141C6C56"/>
    <w:rsid w:val="141D4F14"/>
    <w:rsid w:val="141E2CF7"/>
    <w:rsid w:val="142259AD"/>
    <w:rsid w:val="142F4347"/>
    <w:rsid w:val="14380531"/>
    <w:rsid w:val="143D738D"/>
    <w:rsid w:val="14425B91"/>
    <w:rsid w:val="144E37D9"/>
    <w:rsid w:val="145315DE"/>
    <w:rsid w:val="145426E6"/>
    <w:rsid w:val="14545EC1"/>
    <w:rsid w:val="145B70AA"/>
    <w:rsid w:val="145E5777"/>
    <w:rsid w:val="14703A35"/>
    <w:rsid w:val="147177FA"/>
    <w:rsid w:val="1483775B"/>
    <w:rsid w:val="148437CC"/>
    <w:rsid w:val="148A2D6D"/>
    <w:rsid w:val="1492510F"/>
    <w:rsid w:val="149370F8"/>
    <w:rsid w:val="14973315"/>
    <w:rsid w:val="149A2E5A"/>
    <w:rsid w:val="149D2EE2"/>
    <w:rsid w:val="14A05432"/>
    <w:rsid w:val="14A979BF"/>
    <w:rsid w:val="14B10D6A"/>
    <w:rsid w:val="14C16462"/>
    <w:rsid w:val="14E1708C"/>
    <w:rsid w:val="14E9398E"/>
    <w:rsid w:val="14EA4CF7"/>
    <w:rsid w:val="14EA75D5"/>
    <w:rsid w:val="14ED6F08"/>
    <w:rsid w:val="14F25809"/>
    <w:rsid w:val="14F97B5A"/>
    <w:rsid w:val="14FB646C"/>
    <w:rsid w:val="14FE600C"/>
    <w:rsid w:val="1500009E"/>
    <w:rsid w:val="15085F51"/>
    <w:rsid w:val="150C5145"/>
    <w:rsid w:val="151A7A66"/>
    <w:rsid w:val="151E65FF"/>
    <w:rsid w:val="15275E13"/>
    <w:rsid w:val="154703BF"/>
    <w:rsid w:val="154E372D"/>
    <w:rsid w:val="155D1670"/>
    <w:rsid w:val="155F2D92"/>
    <w:rsid w:val="15611CF6"/>
    <w:rsid w:val="157A3097"/>
    <w:rsid w:val="157D0804"/>
    <w:rsid w:val="158144EA"/>
    <w:rsid w:val="15893441"/>
    <w:rsid w:val="158F263B"/>
    <w:rsid w:val="15973CBB"/>
    <w:rsid w:val="15B10BC0"/>
    <w:rsid w:val="15C67AF8"/>
    <w:rsid w:val="15CF16A7"/>
    <w:rsid w:val="15D055FA"/>
    <w:rsid w:val="15D6799F"/>
    <w:rsid w:val="15E67A39"/>
    <w:rsid w:val="160640D1"/>
    <w:rsid w:val="16097562"/>
    <w:rsid w:val="160A7C9E"/>
    <w:rsid w:val="16192863"/>
    <w:rsid w:val="161B6057"/>
    <w:rsid w:val="161D7368"/>
    <w:rsid w:val="1626610D"/>
    <w:rsid w:val="162A3CE8"/>
    <w:rsid w:val="1633430E"/>
    <w:rsid w:val="16393661"/>
    <w:rsid w:val="163B2879"/>
    <w:rsid w:val="164121FE"/>
    <w:rsid w:val="1645779E"/>
    <w:rsid w:val="1650051A"/>
    <w:rsid w:val="16534086"/>
    <w:rsid w:val="165B2F3A"/>
    <w:rsid w:val="165E1A51"/>
    <w:rsid w:val="1667601C"/>
    <w:rsid w:val="166E7112"/>
    <w:rsid w:val="16703D8B"/>
    <w:rsid w:val="1675022F"/>
    <w:rsid w:val="167974E7"/>
    <w:rsid w:val="167A5567"/>
    <w:rsid w:val="168B64E5"/>
    <w:rsid w:val="168D7598"/>
    <w:rsid w:val="16B171D1"/>
    <w:rsid w:val="16C46D32"/>
    <w:rsid w:val="16CE2D18"/>
    <w:rsid w:val="16D914E3"/>
    <w:rsid w:val="16DF5613"/>
    <w:rsid w:val="16EB6985"/>
    <w:rsid w:val="170117D4"/>
    <w:rsid w:val="17125CEF"/>
    <w:rsid w:val="17160A7A"/>
    <w:rsid w:val="171960E2"/>
    <w:rsid w:val="172A6461"/>
    <w:rsid w:val="17317992"/>
    <w:rsid w:val="173450E6"/>
    <w:rsid w:val="173B2608"/>
    <w:rsid w:val="17422419"/>
    <w:rsid w:val="1744338E"/>
    <w:rsid w:val="174D1BAA"/>
    <w:rsid w:val="17562080"/>
    <w:rsid w:val="17570966"/>
    <w:rsid w:val="17593904"/>
    <w:rsid w:val="176A03D1"/>
    <w:rsid w:val="176D07D5"/>
    <w:rsid w:val="177B24D5"/>
    <w:rsid w:val="17873C4D"/>
    <w:rsid w:val="179175FF"/>
    <w:rsid w:val="17A103D3"/>
    <w:rsid w:val="17B32243"/>
    <w:rsid w:val="17B84AE8"/>
    <w:rsid w:val="17C42882"/>
    <w:rsid w:val="17C51E95"/>
    <w:rsid w:val="17C65205"/>
    <w:rsid w:val="17C84B37"/>
    <w:rsid w:val="17E661DF"/>
    <w:rsid w:val="17FD6785"/>
    <w:rsid w:val="180A2718"/>
    <w:rsid w:val="1821268E"/>
    <w:rsid w:val="18215DBF"/>
    <w:rsid w:val="182D59F2"/>
    <w:rsid w:val="18385CA0"/>
    <w:rsid w:val="18413B0F"/>
    <w:rsid w:val="18420856"/>
    <w:rsid w:val="184747F2"/>
    <w:rsid w:val="18481ACC"/>
    <w:rsid w:val="184B53CF"/>
    <w:rsid w:val="184C2D27"/>
    <w:rsid w:val="184E675E"/>
    <w:rsid w:val="185E1C59"/>
    <w:rsid w:val="185F31B6"/>
    <w:rsid w:val="18662D94"/>
    <w:rsid w:val="18716A45"/>
    <w:rsid w:val="187E2676"/>
    <w:rsid w:val="1884190B"/>
    <w:rsid w:val="18A10126"/>
    <w:rsid w:val="18A24E51"/>
    <w:rsid w:val="18A91E72"/>
    <w:rsid w:val="18AE7C99"/>
    <w:rsid w:val="18C83E1B"/>
    <w:rsid w:val="18D214EE"/>
    <w:rsid w:val="18D6574D"/>
    <w:rsid w:val="18EA7B1E"/>
    <w:rsid w:val="18F7519C"/>
    <w:rsid w:val="18FC18DA"/>
    <w:rsid w:val="18FF063B"/>
    <w:rsid w:val="1900526A"/>
    <w:rsid w:val="19106880"/>
    <w:rsid w:val="19124185"/>
    <w:rsid w:val="191A70DD"/>
    <w:rsid w:val="19265A82"/>
    <w:rsid w:val="192B12EA"/>
    <w:rsid w:val="192F49DB"/>
    <w:rsid w:val="193A152D"/>
    <w:rsid w:val="193A6231"/>
    <w:rsid w:val="1940737B"/>
    <w:rsid w:val="19426176"/>
    <w:rsid w:val="19484208"/>
    <w:rsid w:val="1956530D"/>
    <w:rsid w:val="195E6FCA"/>
    <w:rsid w:val="197839CD"/>
    <w:rsid w:val="197F26E3"/>
    <w:rsid w:val="198C6D2E"/>
    <w:rsid w:val="19943385"/>
    <w:rsid w:val="19970EF0"/>
    <w:rsid w:val="199A59BC"/>
    <w:rsid w:val="199D5D27"/>
    <w:rsid w:val="199F35E2"/>
    <w:rsid w:val="19CF7EF7"/>
    <w:rsid w:val="19D545C2"/>
    <w:rsid w:val="19D67DDA"/>
    <w:rsid w:val="19DF278B"/>
    <w:rsid w:val="19E56B5B"/>
    <w:rsid w:val="19EA2B7C"/>
    <w:rsid w:val="19F45BB5"/>
    <w:rsid w:val="19F97703"/>
    <w:rsid w:val="1A0A0761"/>
    <w:rsid w:val="1A1126C2"/>
    <w:rsid w:val="1A116F35"/>
    <w:rsid w:val="1A16478F"/>
    <w:rsid w:val="1A1663A0"/>
    <w:rsid w:val="1A1C1AFA"/>
    <w:rsid w:val="1A2A3350"/>
    <w:rsid w:val="1A2E51E2"/>
    <w:rsid w:val="1A312930"/>
    <w:rsid w:val="1A376D54"/>
    <w:rsid w:val="1A393593"/>
    <w:rsid w:val="1A3A17E5"/>
    <w:rsid w:val="1A3B549C"/>
    <w:rsid w:val="1A3D1C63"/>
    <w:rsid w:val="1A407FE0"/>
    <w:rsid w:val="1A410242"/>
    <w:rsid w:val="1A477C93"/>
    <w:rsid w:val="1A5375D1"/>
    <w:rsid w:val="1A5869A8"/>
    <w:rsid w:val="1A7A553C"/>
    <w:rsid w:val="1A7B22B0"/>
    <w:rsid w:val="1A8709B4"/>
    <w:rsid w:val="1ABC0204"/>
    <w:rsid w:val="1AD24BEF"/>
    <w:rsid w:val="1AD525FD"/>
    <w:rsid w:val="1AD9321C"/>
    <w:rsid w:val="1ADC0C9C"/>
    <w:rsid w:val="1ADD54D3"/>
    <w:rsid w:val="1AFE1D64"/>
    <w:rsid w:val="1B013588"/>
    <w:rsid w:val="1B062679"/>
    <w:rsid w:val="1B125327"/>
    <w:rsid w:val="1B1800F6"/>
    <w:rsid w:val="1B1C0527"/>
    <w:rsid w:val="1B1D18E0"/>
    <w:rsid w:val="1B33116A"/>
    <w:rsid w:val="1B37018C"/>
    <w:rsid w:val="1B481AF1"/>
    <w:rsid w:val="1B481CCF"/>
    <w:rsid w:val="1B5379C6"/>
    <w:rsid w:val="1B586DBF"/>
    <w:rsid w:val="1B5C798E"/>
    <w:rsid w:val="1B6A1278"/>
    <w:rsid w:val="1B6E7D0E"/>
    <w:rsid w:val="1B701236"/>
    <w:rsid w:val="1B7B253E"/>
    <w:rsid w:val="1B8358B3"/>
    <w:rsid w:val="1B8A7087"/>
    <w:rsid w:val="1BA13E31"/>
    <w:rsid w:val="1BD62A59"/>
    <w:rsid w:val="1BDE7A0B"/>
    <w:rsid w:val="1C066776"/>
    <w:rsid w:val="1C116407"/>
    <w:rsid w:val="1C126844"/>
    <w:rsid w:val="1C163B8C"/>
    <w:rsid w:val="1C166281"/>
    <w:rsid w:val="1C197B20"/>
    <w:rsid w:val="1C1B1166"/>
    <w:rsid w:val="1C1D316C"/>
    <w:rsid w:val="1C297D63"/>
    <w:rsid w:val="1C516991"/>
    <w:rsid w:val="1C56795C"/>
    <w:rsid w:val="1C6109C0"/>
    <w:rsid w:val="1C6A6594"/>
    <w:rsid w:val="1C707802"/>
    <w:rsid w:val="1C7F7679"/>
    <w:rsid w:val="1C8201EE"/>
    <w:rsid w:val="1C857A0D"/>
    <w:rsid w:val="1C8A6328"/>
    <w:rsid w:val="1C9333F0"/>
    <w:rsid w:val="1CA837C1"/>
    <w:rsid w:val="1CAB69CA"/>
    <w:rsid w:val="1CC2570F"/>
    <w:rsid w:val="1CD15033"/>
    <w:rsid w:val="1CDA2F7F"/>
    <w:rsid w:val="1CDF48C5"/>
    <w:rsid w:val="1CE21780"/>
    <w:rsid w:val="1CFF6D16"/>
    <w:rsid w:val="1D0E1A8D"/>
    <w:rsid w:val="1D1651CF"/>
    <w:rsid w:val="1D194148"/>
    <w:rsid w:val="1D1A1BCA"/>
    <w:rsid w:val="1D256AA6"/>
    <w:rsid w:val="1D2821E4"/>
    <w:rsid w:val="1D2D666C"/>
    <w:rsid w:val="1D320E99"/>
    <w:rsid w:val="1D3C5874"/>
    <w:rsid w:val="1D4365BD"/>
    <w:rsid w:val="1D493C19"/>
    <w:rsid w:val="1D4D6CA1"/>
    <w:rsid w:val="1D5907B5"/>
    <w:rsid w:val="1D627B54"/>
    <w:rsid w:val="1D633229"/>
    <w:rsid w:val="1D6B604E"/>
    <w:rsid w:val="1D6E7CF7"/>
    <w:rsid w:val="1D7F39B2"/>
    <w:rsid w:val="1D8A3A83"/>
    <w:rsid w:val="1D8C5473"/>
    <w:rsid w:val="1D8D2573"/>
    <w:rsid w:val="1D9751A0"/>
    <w:rsid w:val="1DA13929"/>
    <w:rsid w:val="1DA77D6A"/>
    <w:rsid w:val="1DAC64F7"/>
    <w:rsid w:val="1DB16262"/>
    <w:rsid w:val="1DD737EE"/>
    <w:rsid w:val="1DDB32DF"/>
    <w:rsid w:val="1DDD7F4D"/>
    <w:rsid w:val="1DDE13F8"/>
    <w:rsid w:val="1DF06EF1"/>
    <w:rsid w:val="1DF24B2B"/>
    <w:rsid w:val="1DF36A1D"/>
    <w:rsid w:val="1DFB310B"/>
    <w:rsid w:val="1E1847E6"/>
    <w:rsid w:val="1E2042A5"/>
    <w:rsid w:val="1E272B96"/>
    <w:rsid w:val="1E300355"/>
    <w:rsid w:val="1E375DF4"/>
    <w:rsid w:val="1E403735"/>
    <w:rsid w:val="1E410ED7"/>
    <w:rsid w:val="1E4922BC"/>
    <w:rsid w:val="1E674B72"/>
    <w:rsid w:val="1E730F02"/>
    <w:rsid w:val="1E7B6A0E"/>
    <w:rsid w:val="1E89232D"/>
    <w:rsid w:val="1E8A277C"/>
    <w:rsid w:val="1E965450"/>
    <w:rsid w:val="1EA229A4"/>
    <w:rsid w:val="1EA70F25"/>
    <w:rsid w:val="1EB13467"/>
    <w:rsid w:val="1EC5345F"/>
    <w:rsid w:val="1EC75611"/>
    <w:rsid w:val="1EC91910"/>
    <w:rsid w:val="1ED61CF8"/>
    <w:rsid w:val="1EE440D6"/>
    <w:rsid w:val="1EED0876"/>
    <w:rsid w:val="1F14061D"/>
    <w:rsid w:val="1F167F55"/>
    <w:rsid w:val="1F220F55"/>
    <w:rsid w:val="1F273238"/>
    <w:rsid w:val="1F2914CA"/>
    <w:rsid w:val="1F2A6158"/>
    <w:rsid w:val="1F2B4A85"/>
    <w:rsid w:val="1F3E4504"/>
    <w:rsid w:val="1F417171"/>
    <w:rsid w:val="1F445FB7"/>
    <w:rsid w:val="1F470500"/>
    <w:rsid w:val="1F495E02"/>
    <w:rsid w:val="1F4C3A1D"/>
    <w:rsid w:val="1F4D3D68"/>
    <w:rsid w:val="1F4F0065"/>
    <w:rsid w:val="1F5A3617"/>
    <w:rsid w:val="1F673D5E"/>
    <w:rsid w:val="1F740D8D"/>
    <w:rsid w:val="1F7A08D5"/>
    <w:rsid w:val="1F7A4C29"/>
    <w:rsid w:val="1F861C67"/>
    <w:rsid w:val="1F9C6A9E"/>
    <w:rsid w:val="1FA328AB"/>
    <w:rsid w:val="1FA5264F"/>
    <w:rsid w:val="1FAD0CAB"/>
    <w:rsid w:val="1FBB5FD6"/>
    <w:rsid w:val="1FD65883"/>
    <w:rsid w:val="1FD9439E"/>
    <w:rsid w:val="1FDA24EF"/>
    <w:rsid w:val="1FE2476E"/>
    <w:rsid w:val="1FEC573D"/>
    <w:rsid w:val="1FF32470"/>
    <w:rsid w:val="1FFD10E7"/>
    <w:rsid w:val="20075091"/>
    <w:rsid w:val="200D2DE4"/>
    <w:rsid w:val="20101C28"/>
    <w:rsid w:val="201F0479"/>
    <w:rsid w:val="202645B9"/>
    <w:rsid w:val="202E2627"/>
    <w:rsid w:val="2039200A"/>
    <w:rsid w:val="203D6EB0"/>
    <w:rsid w:val="204027EF"/>
    <w:rsid w:val="20472829"/>
    <w:rsid w:val="204809D3"/>
    <w:rsid w:val="206C46C2"/>
    <w:rsid w:val="206C68EC"/>
    <w:rsid w:val="207F062B"/>
    <w:rsid w:val="207F2647"/>
    <w:rsid w:val="20833BCE"/>
    <w:rsid w:val="20891CD2"/>
    <w:rsid w:val="20A30FB8"/>
    <w:rsid w:val="20A91472"/>
    <w:rsid w:val="20B47FF0"/>
    <w:rsid w:val="20C35091"/>
    <w:rsid w:val="20C71243"/>
    <w:rsid w:val="20CF540C"/>
    <w:rsid w:val="20E73D48"/>
    <w:rsid w:val="20F546B7"/>
    <w:rsid w:val="20F5699E"/>
    <w:rsid w:val="21152A9C"/>
    <w:rsid w:val="211705FC"/>
    <w:rsid w:val="211E34E2"/>
    <w:rsid w:val="212154AC"/>
    <w:rsid w:val="212313F4"/>
    <w:rsid w:val="21354AB4"/>
    <w:rsid w:val="213A0C67"/>
    <w:rsid w:val="21423675"/>
    <w:rsid w:val="21470C8B"/>
    <w:rsid w:val="214B681C"/>
    <w:rsid w:val="214E3C37"/>
    <w:rsid w:val="215025B4"/>
    <w:rsid w:val="21503E1D"/>
    <w:rsid w:val="21537630"/>
    <w:rsid w:val="216D2CCF"/>
    <w:rsid w:val="21701F90"/>
    <w:rsid w:val="217C43DC"/>
    <w:rsid w:val="218F0B17"/>
    <w:rsid w:val="21902EDD"/>
    <w:rsid w:val="21924DD1"/>
    <w:rsid w:val="219852D6"/>
    <w:rsid w:val="21A701F0"/>
    <w:rsid w:val="21AB121A"/>
    <w:rsid w:val="21B121F5"/>
    <w:rsid w:val="21B40BCC"/>
    <w:rsid w:val="21C1399D"/>
    <w:rsid w:val="21D46309"/>
    <w:rsid w:val="21D93EEA"/>
    <w:rsid w:val="21DC266B"/>
    <w:rsid w:val="21E105A3"/>
    <w:rsid w:val="21FA071D"/>
    <w:rsid w:val="221D290C"/>
    <w:rsid w:val="22203661"/>
    <w:rsid w:val="22250772"/>
    <w:rsid w:val="224A652B"/>
    <w:rsid w:val="224C6559"/>
    <w:rsid w:val="22523EF9"/>
    <w:rsid w:val="22692938"/>
    <w:rsid w:val="226952AA"/>
    <w:rsid w:val="22850432"/>
    <w:rsid w:val="22874208"/>
    <w:rsid w:val="22932BD5"/>
    <w:rsid w:val="22B1460E"/>
    <w:rsid w:val="22B27158"/>
    <w:rsid w:val="22BB36DF"/>
    <w:rsid w:val="22C22119"/>
    <w:rsid w:val="22E25D98"/>
    <w:rsid w:val="230237AE"/>
    <w:rsid w:val="23056708"/>
    <w:rsid w:val="23071CF1"/>
    <w:rsid w:val="231E591C"/>
    <w:rsid w:val="23285C68"/>
    <w:rsid w:val="232F0744"/>
    <w:rsid w:val="23345F90"/>
    <w:rsid w:val="233504B4"/>
    <w:rsid w:val="2358078F"/>
    <w:rsid w:val="235B4430"/>
    <w:rsid w:val="236817F3"/>
    <w:rsid w:val="236C5BD1"/>
    <w:rsid w:val="23816615"/>
    <w:rsid w:val="23866D96"/>
    <w:rsid w:val="238735C1"/>
    <w:rsid w:val="238E6630"/>
    <w:rsid w:val="239006C7"/>
    <w:rsid w:val="23987AFE"/>
    <w:rsid w:val="2399693C"/>
    <w:rsid w:val="239A14A9"/>
    <w:rsid w:val="239C52BE"/>
    <w:rsid w:val="23AB5501"/>
    <w:rsid w:val="23B03131"/>
    <w:rsid w:val="23C859EA"/>
    <w:rsid w:val="23CA2420"/>
    <w:rsid w:val="23CB4EC6"/>
    <w:rsid w:val="23CD61CB"/>
    <w:rsid w:val="23DD09A3"/>
    <w:rsid w:val="23DF49AC"/>
    <w:rsid w:val="23F549CE"/>
    <w:rsid w:val="23F81FF8"/>
    <w:rsid w:val="24066BDB"/>
    <w:rsid w:val="24090FB3"/>
    <w:rsid w:val="240E105B"/>
    <w:rsid w:val="24161FDA"/>
    <w:rsid w:val="242166F1"/>
    <w:rsid w:val="24217571"/>
    <w:rsid w:val="24267B5E"/>
    <w:rsid w:val="243E0123"/>
    <w:rsid w:val="24404F32"/>
    <w:rsid w:val="244E5013"/>
    <w:rsid w:val="24500F6B"/>
    <w:rsid w:val="245534DF"/>
    <w:rsid w:val="24605395"/>
    <w:rsid w:val="246A716A"/>
    <w:rsid w:val="246E3618"/>
    <w:rsid w:val="24877FFB"/>
    <w:rsid w:val="249917FE"/>
    <w:rsid w:val="249B7EAC"/>
    <w:rsid w:val="249D5F4E"/>
    <w:rsid w:val="24C11A76"/>
    <w:rsid w:val="24CD5966"/>
    <w:rsid w:val="24D2419B"/>
    <w:rsid w:val="24D523A7"/>
    <w:rsid w:val="24D75B33"/>
    <w:rsid w:val="24D93DB8"/>
    <w:rsid w:val="24E87065"/>
    <w:rsid w:val="24F66C15"/>
    <w:rsid w:val="24FB7DC2"/>
    <w:rsid w:val="251519DC"/>
    <w:rsid w:val="25164183"/>
    <w:rsid w:val="251A1A16"/>
    <w:rsid w:val="251F728E"/>
    <w:rsid w:val="25284259"/>
    <w:rsid w:val="25284801"/>
    <w:rsid w:val="252E6768"/>
    <w:rsid w:val="253357AE"/>
    <w:rsid w:val="253654BC"/>
    <w:rsid w:val="256242E5"/>
    <w:rsid w:val="2565751A"/>
    <w:rsid w:val="25665B84"/>
    <w:rsid w:val="256E191B"/>
    <w:rsid w:val="25722D00"/>
    <w:rsid w:val="25817046"/>
    <w:rsid w:val="25832019"/>
    <w:rsid w:val="25A066B6"/>
    <w:rsid w:val="25B301D0"/>
    <w:rsid w:val="25B44B8E"/>
    <w:rsid w:val="25B47F77"/>
    <w:rsid w:val="25B82157"/>
    <w:rsid w:val="25BD776E"/>
    <w:rsid w:val="25C13CDD"/>
    <w:rsid w:val="25C54F9F"/>
    <w:rsid w:val="25C97E38"/>
    <w:rsid w:val="25D725DE"/>
    <w:rsid w:val="25ED5725"/>
    <w:rsid w:val="25FA5EE8"/>
    <w:rsid w:val="26086C3B"/>
    <w:rsid w:val="2615286B"/>
    <w:rsid w:val="26247367"/>
    <w:rsid w:val="263230B7"/>
    <w:rsid w:val="26373212"/>
    <w:rsid w:val="26373D44"/>
    <w:rsid w:val="263E219B"/>
    <w:rsid w:val="26496672"/>
    <w:rsid w:val="264B2FCC"/>
    <w:rsid w:val="264D28A0"/>
    <w:rsid w:val="26514E2C"/>
    <w:rsid w:val="26564E57"/>
    <w:rsid w:val="265A4FBD"/>
    <w:rsid w:val="265F25D3"/>
    <w:rsid w:val="265F74DD"/>
    <w:rsid w:val="266B21A3"/>
    <w:rsid w:val="2681094A"/>
    <w:rsid w:val="26846AF1"/>
    <w:rsid w:val="26901595"/>
    <w:rsid w:val="26924756"/>
    <w:rsid w:val="26925880"/>
    <w:rsid w:val="26A1499A"/>
    <w:rsid w:val="26A93C0B"/>
    <w:rsid w:val="26AA49F3"/>
    <w:rsid w:val="26B0300A"/>
    <w:rsid w:val="26B95302"/>
    <w:rsid w:val="26BA5E2E"/>
    <w:rsid w:val="26BA6837"/>
    <w:rsid w:val="26BE05AA"/>
    <w:rsid w:val="26DA1623"/>
    <w:rsid w:val="26EC20B9"/>
    <w:rsid w:val="26EF006F"/>
    <w:rsid w:val="2700245D"/>
    <w:rsid w:val="2713137E"/>
    <w:rsid w:val="27162C50"/>
    <w:rsid w:val="271A596E"/>
    <w:rsid w:val="271E7498"/>
    <w:rsid w:val="27200E49"/>
    <w:rsid w:val="27231852"/>
    <w:rsid w:val="27664A12"/>
    <w:rsid w:val="276E106B"/>
    <w:rsid w:val="276E51C4"/>
    <w:rsid w:val="27766606"/>
    <w:rsid w:val="277A5916"/>
    <w:rsid w:val="278A18D2"/>
    <w:rsid w:val="278C73F8"/>
    <w:rsid w:val="278C7EB3"/>
    <w:rsid w:val="279544FE"/>
    <w:rsid w:val="279B05FD"/>
    <w:rsid w:val="279D5CCE"/>
    <w:rsid w:val="27A509B4"/>
    <w:rsid w:val="27AA1D90"/>
    <w:rsid w:val="27AF6D04"/>
    <w:rsid w:val="27BE06EC"/>
    <w:rsid w:val="27C61896"/>
    <w:rsid w:val="27D3618B"/>
    <w:rsid w:val="27E3342A"/>
    <w:rsid w:val="27E4411E"/>
    <w:rsid w:val="27EB1553"/>
    <w:rsid w:val="27F0296A"/>
    <w:rsid w:val="27F713DC"/>
    <w:rsid w:val="27F95B25"/>
    <w:rsid w:val="27FA25B3"/>
    <w:rsid w:val="281713B7"/>
    <w:rsid w:val="281C40A6"/>
    <w:rsid w:val="281C5F77"/>
    <w:rsid w:val="28212236"/>
    <w:rsid w:val="2821504E"/>
    <w:rsid w:val="282B6C11"/>
    <w:rsid w:val="283006CB"/>
    <w:rsid w:val="283717AB"/>
    <w:rsid w:val="283946CF"/>
    <w:rsid w:val="284A6CA6"/>
    <w:rsid w:val="285A3541"/>
    <w:rsid w:val="285C6DCA"/>
    <w:rsid w:val="285F5C4A"/>
    <w:rsid w:val="28641935"/>
    <w:rsid w:val="28722A91"/>
    <w:rsid w:val="28723651"/>
    <w:rsid w:val="28727888"/>
    <w:rsid w:val="28777BD8"/>
    <w:rsid w:val="28787579"/>
    <w:rsid w:val="287A7383"/>
    <w:rsid w:val="28804B1E"/>
    <w:rsid w:val="28812A2A"/>
    <w:rsid w:val="28822A78"/>
    <w:rsid w:val="288244D1"/>
    <w:rsid w:val="28926C90"/>
    <w:rsid w:val="289D3C66"/>
    <w:rsid w:val="28A7083F"/>
    <w:rsid w:val="28B46C06"/>
    <w:rsid w:val="28B7128D"/>
    <w:rsid w:val="28B766F6"/>
    <w:rsid w:val="28BC17C5"/>
    <w:rsid w:val="28BC3D0D"/>
    <w:rsid w:val="28C17575"/>
    <w:rsid w:val="28C8148A"/>
    <w:rsid w:val="28C82699"/>
    <w:rsid w:val="28C86F5B"/>
    <w:rsid w:val="28C953F3"/>
    <w:rsid w:val="28D77898"/>
    <w:rsid w:val="28ED4319"/>
    <w:rsid w:val="29047C20"/>
    <w:rsid w:val="290A2CCA"/>
    <w:rsid w:val="290C37E4"/>
    <w:rsid w:val="291678C1"/>
    <w:rsid w:val="291856B6"/>
    <w:rsid w:val="2934772C"/>
    <w:rsid w:val="293C4276"/>
    <w:rsid w:val="29562F10"/>
    <w:rsid w:val="296114B0"/>
    <w:rsid w:val="29675A90"/>
    <w:rsid w:val="297E4553"/>
    <w:rsid w:val="297F6928"/>
    <w:rsid w:val="29802AAE"/>
    <w:rsid w:val="298713AE"/>
    <w:rsid w:val="29AE5D4B"/>
    <w:rsid w:val="29C27101"/>
    <w:rsid w:val="29C44FD2"/>
    <w:rsid w:val="29E35016"/>
    <w:rsid w:val="29E44217"/>
    <w:rsid w:val="29E732C8"/>
    <w:rsid w:val="29EF743A"/>
    <w:rsid w:val="29FC0CEB"/>
    <w:rsid w:val="2A0D22FE"/>
    <w:rsid w:val="2A1D2C3D"/>
    <w:rsid w:val="2A5102B6"/>
    <w:rsid w:val="2A710990"/>
    <w:rsid w:val="2A7D127A"/>
    <w:rsid w:val="2A7E571E"/>
    <w:rsid w:val="2A813C71"/>
    <w:rsid w:val="2A884C26"/>
    <w:rsid w:val="2A991360"/>
    <w:rsid w:val="2AA62776"/>
    <w:rsid w:val="2AAC13D2"/>
    <w:rsid w:val="2AAD0948"/>
    <w:rsid w:val="2AC030F2"/>
    <w:rsid w:val="2AC8553B"/>
    <w:rsid w:val="2ADA1494"/>
    <w:rsid w:val="2ADE639C"/>
    <w:rsid w:val="2AEF5B9F"/>
    <w:rsid w:val="2AF72032"/>
    <w:rsid w:val="2AFE060C"/>
    <w:rsid w:val="2B177C1D"/>
    <w:rsid w:val="2B326508"/>
    <w:rsid w:val="2B365FF8"/>
    <w:rsid w:val="2B367314"/>
    <w:rsid w:val="2B370595"/>
    <w:rsid w:val="2B382564"/>
    <w:rsid w:val="2B407081"/>
    <w:rsid w:val="2B4C2F55"/>
    <w:rsid w:val="2B5244B4"/>
    <w:rsid w:val="2B525C5B"/>
    <w:rsid w:val="2B55091F"/>
    <w:rsid w:val="2B551A88"/>
    <w:rsid w:val="2B56699D"/>
    <w:rsid w:val="2B5F51E5"/>
    <w:rsid w:val="2B611C0C"/>
    <w:rsid w:val="2B6709CB"/>
    <w:rsid w:val="2B703EB0"/>
    <w:rsid w:val="2B7607DC"/>
    <w:rsid w:val="2B7A5BB3"/>
    <w:rsid w:val="2B8B16C0"/>
    <w:rsid w:val="2B8C3C6F"/>
    <w:rsid w:val="2B9C3693"/>
    <w:rsid w:val="2BB82751"/>
    <w:rsid w:val="2BBE5028"/>
    <w:rsid w:val="2BCD29E2"/>
    <w:rsid w:val="2BCF783D"/>
    <w:rsid w:val="2BE2542C"/>
    <w:rsid w:val="2BE422AE"/>
    <w:rsid w:val="2BE9306B"/>
    <w:rsid w:val="2BFD3767"/>
    <w:rsid w:val="2BFF463C"/>
    <w:rsid w:val="2C01198A"/>
    <w:rsid w:val="2C012465"/>
    <w:rsid w:val="2C106849"/>
    <w:rsid w:val="2C1A4173"/>
    <w:rsid w:val="2C2103A2"/>
    <w:rsid w:val="2C2F125C"/>
    <w:rsid w:val="2C3305F7"/>
    <w:rsid w:val="2C3806EC"/>
    <w:rsid w:val="2C3C1FD0"/>
    <w:rsid w:val="2C4F294A"/>
    <w:rsid w:val="2C534614"/>
    <w:rsid w:val="2C53688E"/>
    <w:rsid w:val="2C5C3BD7"/>
    <w:rsid w:val="2C6721E1"/>
    <w:rsid w:val="2C6C2B60"/>
    <w:rsid w:val="2C7179BE"/>
    <w:rsid w:val="2C782BA5"/>
    <w:rsid w:val="2C845445"/>
    <w:rsid w:val="2CA052D6"/>
    <w:rsid w:val="2CA847D2"/>
    <w:rsid w:val="2CB74F17"/>
    <w:rsid w:val="2CBC6B40"/>
    <w:rsid w:val="2CDC18FD"/>
    <w:rsid w:val="2CE23608"/>
    <w:rsid w:val="2CEB2C98"/>
    <w:rsid w:val="2CF47D90"/>
    <w:rsid w:val="2CFD00D7"/>
    <w:rsid w:val="2D0A65F3"/>
    <w:rsid w:val="2D0B4A87"/>
    <w:rsid w:val="2D39558A"/>
    <w:rsid w:val="2D4F02F8"/>
    <w:rsid w:val="2D5574CB"/>
    <w:rsid w:val="2D5D5D7D"/>
    <w:rsid w:val="2D5E19B5"/>
    <w:rsid w:val="2D5F20D8"/>
    <w:rsid w:val="2D6D1907"/>
    <w:rsid w:val="2D7230A8"/>
    <w:rsid w:val="2D7C1E21"/>
    <w:rsid w:val="2D7E77E3"/>
    <w:rsid w:val="2D911BFA"/>
    <w:rsid w:val="2D9F1CE8"/>
    <w:rsid w:val="2DA37E6B"/>
    <w:rsid w:val="2DAF2092"/>
    <w:rsid w:val="2DB62A4A"/>
    <w:rsid w:val="2DB77E8B"/>
    <w:rsid w:val="2DD1437F"/>
    <w:rsid w:val="2DD453EB"/>
    <w:rsid w:val="2DDB4C35"/>
    <w:rsid w:val="2DDC6035"/>
    <w:rsid w:val="2DDD2EC8"/>
    <w:rsid w:val="2DF950BB"/>
    <w:rsid w:val="2E01082B"/>
    <w:rsid w:val="2E040D02"/>
    <w:rsid w:val="2E0B03F3"/>
    <w:rsid w:val="2E1838A8"/>
    <w:rsid w:val="2E2B2CA0"/>
    <w:rsid w:val="2E3048FA"/>
    <w:rsid w:val="2E3600BD"/>
    <w:rsid w:val="2E361052"/>
    <w:rsid w:val="2E3650A3"/>
    <w:rsid w:val="2E411E5B"/>
    <w:rsid w:val="2E4F3612"/>
    <w:rsid w:val="2E50080F"/>
    <w:rsid w:val="2E67088A"/>
    <w:rsid w:val="2E6A4935"/>
    <w:rsid w:val="2E6D4AE2"/>
    <w:rsid w:val="2E861327"/>
    <w:rsid w:val="2E8F460E"/>
    <w:rsid w:val="2E971FA4"/>
    <w:rsid w:val="2EA31236"/>
    <w:rsid w:val="2EB135C5"/>
    <w:rsid w:val="2EBE46B8"/>
    <w:rsid w:val="2EC619EF"/>
    <w:rsid w:val="2ECB79C4"/>
    <w:rsid w:val="2ECD0CEC"/>
    <w:rsid w:val="2EDA7D0D"/>
    <w:rsid w:val="2EE23DA1"/>
    <w:rsid w:val="2EE50DF6"/>
    <w:rsid w:val="2EED1DD3"/>
    <w:rsid w:val="2EED69CE"/>
    <w:rsid w:val="2EEF26A2"/>
    <w:rsid w:val="2F1321AD"/>
    <w:rsid w:val="2F4E1ADA"/>
    <w:rsid w:val="2F5C2B2F"/>
    <w:rsid w:val="2F68691E"/>
    <w:rsid w:val="2F77205D"/>
    <w:rsid w:val="2F796F8F"/>
    <w:rsid w:val="2F844336"/>
    <w:rsid w:val="2F85650D"/>
    <w:rsid w:val="2F881C4E"/>
    <w:rsid w:val="2F9B28CE"/>
    <w:rsid w:val="2FA03B53"/>
    <w:rsid w:val="2FAF45CB"/>
    <w:rsid w:val="2FB2230F"/>
    <w:rsid w:val="2FB729E5"/>
    <w:rsid w:val="2FBA00DA"/>
    <w:rsid w:val="2FBC1422"/>
    <w:rsid w:val="2FBC31C2"/>
    <w:rsid w:val="2FD5027C"/>
    <w:rsid w:val="2FEF4CE6"/>
    <w:rsid w:val="2FF00DD9"/>
    <w:rsid w:val="2FFF0312"/>
    <w:rsid w:val="30074C17"/>
    <w:rsid w:val="301D1535"/>
    <w:rsid w:val="30262F8B"/>
    <w:rsid w:val="302C481F"/>
    <w:rsid w:val="30327CB3"/>
    <w:rsid w:val="303407BE"/>
    <w:rsid w:val="304E2C5E"/>
    <w:rsid w:val="30562C99"/>
    <w:rsid w:val="30565629"/>
    <w:rsid w:val="30592B13"/>
    <w:rsid w:val="305F666A"/>
    <w:rsid w:val="30655B09"/>
    <w:rsid w:val="30671FE0"/>
    <w:rsid w:val="307C02B2"/>
    <w:rsid w:val="307C362A"/>
    <w:rsid w:val="30843362"/>
    <w:rsid w:val="309836F9"/>
    <w:rsid w:val="30A0114E"/>
    <w:rsid w:val="30B72DA5"/>
    <w:rsid w:val="30BC3C06"/>
    <w:rsid w:val="30DD71CA"/>
    <w:rsid w:val="30EC3752"/>
    <w:rsid w:val="30FE6808"/>
    <w:rsid w:val="31030DBF"/>
    <w:rsid w:val="31077933"/>
    <w:rsid w:val="310A6D2E"/>
    <w:rsid w:val="312B085D"/>
    <w:rsid w:val="313512E8"/>
    <w:rsid w:val="314813F5"/>
    <w:rsid w:val="314E4A9B"/>
    <w:rsid w:val="3158074D"/>
    <w:rsid w:val="31593AA8"/>
    <w:rsid w:val="316610C3"/>
    <w:rsid w:val="31670199"/>
    <w:rsid w:val="316C3E25"/>
    <w:rsid w:val="316F6E9C"/>
    <w:rsid w:val="317420B9"/>
    <w:rsid w:val="317F3B29"/>
    <w:rsid w:val="318E5455"/>
    <w:rsid w:val="319C4905"/>
    <w:rsid w:val="319C7E5E"/>
    <w:rsid w:val="31A12CDF"/>
    <w:rsid w:val="31A527B5"/>
    <w:rsid w:val="31B83DB9"/>
    <w:rsid w:val="31BF58AB"/>
    <w:rsid w:val="31C024A2"/>
    <w:rsid w:val="31C92278"/>
    <w:rsid w:val="31C942AB"/>
    <w:rsid w:val="31CF685F"/>
    <w:rsid w:val="31D420C7"/>
    <w:rsid w:val="31DB13D9"/>
    <w:rsid w:val="31E0281A"/>
    <w:rsid w:val="31E30809"/>
    <w:rsid w:val="31FC2F2A"/>
    <w:rsid w:val="31FD06A2"/>
    <w:rsid w:val="320974CE"/>
    <w:rsid w:val="321150C9"/>
    <w:rsid w:val="32137479"/>
    <w:rsid w:val="322873BD"/>
    <w:rsid w:val="32290973"/>
    <w:rsid w:val="32292A8C"/>
    <w:rsid w:val="3232436D"/>
    <w:rsid w:val="3233506E"/>
    <w:rsid w:val="32470DB6"/>
    <w:rsid w:val="32476512"/>
    <w:rsid w:val="32504AFB"/>
    <w:rsid w:val="325171EB"/>
    <w:rsid w:val="3256205A"/>
    <w:rsid w:val="32693ED4"/>
    <w:rsid w:val="326C0551"/>
    <w:rsid w:val="327837FF"/>
    <w:rsid w:val="327A0EC0"/>
    <w:rsid w:val="32833F68"/>
    <w:rsid w:val="32843249"/>
    <w:rsid w:val="32932D86"/>
    <w:rsid w:val="329A0F4D"/>
    <w:rsid w:val="329D070B"/>
    <w:rsid w:val="32A35E81"/>
    <w:rsid w:val="32AE6532"/>
    <w:rsid w:val="32C15647"/>
    <w:rsid w:val="32C91784"/>
    <w:rsid w:val="32D06D32"/>
    <w:rsid w:val="32D9076B"/>
    <w:rsid w:val="32DC2E8A"/>
    <w:rsid w:val="32E84B9E"/>
    <w:rsid w:val="32FF4083"/>
    <w:rsid w:val="3306685B"/>
    <w:rsid w:val="330720A3"/>
    <w:rsid w:val="3317149B"/>
    <w:rsid w:val="3319742A"/>
    <w:rsid w:val="331C05A7"/>
    <w:rsid w:val="33213D81"/>
    <w:rsid w:val="33337ED1"/>
    <w:rsid w:val="33354DE7"/>
    <w:rsid w:val="333C068A"/>
    <w:rsid w:val="33541711"/>
    <w:rsid w:val="33567D11"/>
    <w:rsid w:val="335A2B4F"/>
    <w:rsid w:val="33620209"/>
    <w:rsid w:val="336A4256"/>
    <w:rsid w:val="33756DFE"/>
    <w:rsid w:val="337C47C4"/>
    <w:rsid w:val="33813D19"/>
    <w:rsid w:val="33AF5832"/>
    <w:rsid w:val="33BC1065"/>
    <w:rsid w:val="33C43303"/>
    <w:rsid w:val="33CE1E14"/>
    <w:rsid w:val="33DC3359"/>
    <w:rsid w:val="33E001E3"/>
    <w:rsid w:val="33E12879"/>
    <w:rsid w:val="33E368EC"/>
    <w:rsid w:val="33F627C9"/>
    <w:rsid w:val="33FC1772"/>
    <w:rsid w:val="34084571"/>
    <w:rsid w:val="341113B0"/>
    <w:rsid w:val="3411487C"/>
    <w:rsid w:val="34123199"/>
    <w:rsid w:val="341A34B8"/>
    <w:rsid w:val="341B03C3"/>
    <w:rsid w:val="341B222F"/>
    <w:rsid w:val="341E3ACD"/>
    <w:rsid w:val="342310E4"/>
    <w:rsid w:val="343230D5"/>
    <w:rsid w:val="34367069"/>
    <w:rsid w:val="343B467F"/>
    <w:rsid w:val="34474DD2"/>
    <w:rsid w:val="344A2B14"/>
    <w:rsid w:val="344F3C87"/>
    <w:rsid w:val="34504E1F"/>
    <w:rsid w:val="3456587C"/>
    <w:rsid w:val="345E1002"/>
    <w:rsid w:val="346B0BA6"/>
    <w:rsid w:val="348025C6"/>
    <w:rsid w:val="34817480"/>
    <w:rsid w:val="348A3BC7"/>
    <w:rsid w:val="3494103E"/>
    <w:rsid w:val="34A4448B"/>
    <w:rsid w:val="34A65CD1"/>
    <w:rsid w:val="34BC24AA"/>
    <w:rsid w:val="34BD5279"/>
    <w:rsid w:val="34CE6B06"/>
    <w:rsid w:val="34D04D3C"/>
    <w:rsid w:val="34D11C02"/>
    <w:rsid w:val="34D11EA5"/>
    <w:rsid w:val="34E52D73"/>
    <w:rsid w:val="34E86931"/>
    <w:rsid w:val="34FB5415"/>
    <w:rsid w:val="34FE3DDE"/>
    <w:rsid w:val="35004F81"/>
    <w:rsid w:val="350A31F9"/>
    <w:rsid w:val="350B21C0"/>
    <w:rsid w:val="350E769E"/>
    <w:rsid w:val="350F1D15"/>
    <w:rsid w:val="351170B1"/>
    <w:rsid w:val="351759D1"/>
    <w:rsid w:val="3519570D"/>
    <w:rsid w:val="351C6D0A"/>
    <w:rsid w:val="351F3659"/>
    <w:rsid w:val="354521E4"/>
    <w:rsid w:val="3548519E"/>
    <w:rsid w:val="35491FA1"/>
    <w:rsid w:val="355925F0"/>
    <w:rsid w:val="35610116"/>
    <w:rsid w:val="356711CB"/>
    <w:rsid w:val="35675862"/>
    <w:rsid w:val="356B2D42"/>
    <w:rsid w:val="357316F6"/>
    <w:rsid w:val="35753A00"/>
    <w:rsid w:val="35771D9D"/>
    <w:rsid w:val="35782900"/>
    <w:rsid w:val="357F2D10"/>
    <w:rsid w:val="358D2CB9"/>
    <w:rsid w:val="35935DF5"/>
    <w:rsid w:val="35A16764"/>
    <w:rsid w:val="35AF560D"/>
    <w:rsid w:val="35AF6F17"/>
    <w:rsid w:val="35B14856"/>
    <w:rsid w:val="35BA7826"/>
    <w:rsid w:val="35CD5EB3"/>
    <w:rsid w:val="35D5500D"/>
    <w:rsid w:val="35D9525E"/>
    <w:rsid w:val="35E80D01"/>
    <w:rsid w:val="35EF4E1B"/>
    <w:rsid w:val="36006763"/>
    <w:rsid w:val="3605379B"/>
    <w:rsid w:val="36065AE9"/>
    <w:rsid w:val="360A392E"/>
    <w:rsid w:val="36271315"/>
    <w:rsid w:val="36280C33"/>
    <w:rsid w:val="36292A1E"/>
    <w:rsid w:val="362F7E91"/>
    <w:rsid w:val="36341386"/>
    <w:rsid w:val="3638744D"/>
    <w:rsid w:val="363B0967"/>
    <w:rsid w:val="363E244D"/>
    <w:rsid w:val="3640380C"/>
    <w:rsid w:val="364A48C1"/>
    <w:rsid w:val="364B0218"/>
    <w:rsid w:val="366D1C16"/>
    <w:rsid w:val="366D60BB"/>
    <w:rsid w:val="366E7658"/>
    <w:rsid w:val="366F035F"/>
    <w:rsid w:val="36730100"/>
    <w:rsid w:val="367B5207"/>
    <w:rsid w:val="36933A03"/>
    <w:rsid w:val="36AB2CF3"/>
    <w:rsid w:val="36F7427A"/>
    <w:rsid w:val="36F823B4"/>
    <w:rsid w:val="370153CC"/>
    <w:rsid w:val="370445C3"/>
    <w:rsid w:val="37064F13"/>
    <w:rsid w:val="370D37FB"/>
    <w:rsid w:val="3712697D"/>
    <w:rsid w:val="37160A8C"/>
    <w:rsid w:val="37166CDE"/>
    <w:rsid w:val="37173819"/>
    <w:rsid w:val="37176A6D"/>
    <w:rsid w:val="37246911"/>
    <w:rsid w:val="37266A09"/>
    <w:rsid w:val="37270EEB"/>
    <w:rsid w:val="372B7D1A"/>
    <w:rsid w:val="373A3AB1"/>
    <w:rsid w:val="37441A9D"/>
    <w:rsid w:val="375241BA"/>
    <w:rsid w:val="375872F6"/>
    <w:rsid w:val="375C74C3"/>
    <w:rsid w:val="375F74E7"/>
    <w:rsid w:val="3786033A"/>
    <w:rsid w:val="378C0372"/>
    <w:rsid w:val="37920897"/>
    <w:rsid w:val="37996764"/>
    <w:rsid w:val="37B96591"/>
    <w:rsid w:val="37BC7359"/>
    <w:rsid w:val="37C0630C"/>
    <w:rsid w:val="37D60D85"/>
    <w:rsid w:val="37E80261"/>
    <w:rsid w:val="37EC18B5"/>
    <w:rsid w:val="37EC4B4C"/>
    <w:rsid w:val="37FA45FF"/>
    <w:rsid w:val="3801798E"/>
    <w:rsid w:val="380B2340"/>
    <w:rsid w:val="380E4A0A"/>
    <w:rsid w:val="38156F95"/>
    <w:rsid w:val="381E40A7"/>
    <w:rsid w:val="382219A2"/>
    <w:rsid w:val="382C0284"/>
    <w:rsid w:val="382C204D"/>
    <w:rsid w:val="38341B11"/>
    <w:rsid w:val="383438BF"/>
    <w:rsid w:val="3842422E"/>
    <w:rsid w:val="38433E2D"/>
    <w:rsid w:val="384D3D77"/>
    <w:rsid w:val="38593E3A"/>
    <w:rsid w:val="386A108F"/>
    <w:rsid w:val="386F3923"/>
    <w:rsid w:val="38722C33"/>
    <w:rsid w:val="387506BA"/>
    <w:rsid w:val="389205E6"/>
    <w:rsid w:val="38944668"/>
    <w:rsid w:val="38A21ABB"/>
    <w:rsid w:val="38A86B78"/>
    <w:rsid w:val="38AA62BB"/>
    <w:rsid w:val="38B13FD4"/>
    <w:rsid w:val="38BA0DBF"/>
    <w:rsid w:val="38C70290"/>
    <w:rsid w:val="38D50011"/>
    <w:rsid w:val="38E70932"/>
    <w:rsid w:val="38E947BE"/>
    <w:rsid w:val="38FA67D7"/>
    <w:rsid w:val="38FB244A"/>
    <w:rsid w:val="39134960"/>
    <w:rsid w:val="391644CF"/>
    <w:rsid w:val="39172490"/>
    <w:rsid w:val="391D1E5E"/>
    <w:rsid w:val="392D6516"/>
    <w:rsid w:val="393E6305"/>
    <w:rsid w:val="394A4029"/>
    <w:rsid w:val="395A66D3"/>
    <w:rsid w:val="396471C4"/>
    <w:rsid w:val="396A50BF"/>
    <w:rsid w:val="396D4230"/>
    <w:rsid w:val="397F630E"/>
    <w:rsid w:val="398F0343"/>
    <w:rsid w:val="399D5494"/>
    <w:rsid w:val="39B60304"/>
    <w:rsid w:val="39C63358"/>
    <w:rsid w:val="39C933CC"/>
    <w:rsid w:val="39CA3716"/>
    <w:rsid w:val="39D027DE"/>
    <w:rsid w:val="39D87C3D"/>
    <w:rsid w:val="39DF5AAD"/>
    <w:rsid w:val="39E43402"/>
    <w:rsid w:val="39F63386"/>
    <w:rsid w:val="39FC21BB"/>
    <w:rsid w:val="3A096286"/>
    <w:rsid w:val="3A0B1BF9"/>
    <w:rsid w:val="3A1B4C9E"/>
    <w:rsid w:val="3A1B69CA"/>
    <w:rsid w:val="3A2A4FC3"/>
    <w:rsid w:val="3A30366F"/>
    <w:rsid w:val="3A306308"/>
    <w:rsid w:val="3A357452"/>
    <w:rsid w:val="3A361392"/>
    <w:rsid w:val="3A3C7298"/>
    <w:rsid w:val="3A4F4F44"/>
    <w:rsid w:val="3A524858"/>
    <w:rsid w:val="3A5A7DA8"/>
    <w:rsid w:val="3A5B4A4B"/>
    <w:rsid w:val="3A5B4B98"/>
    <w:rsid w:val="3A7246FB"/>
    <w:rsid w:val="3A735B86"/>
    <w:rsid w:val="3A915ABD"/>
    <w:rsid w:val="3AA705CA"/>
    <w:rsid w:val="3AAC6CCA"/>
    <w:rsid w:val="3AB6680E"/>
    <w:rsid w:val="3AC4155D"/>
    <w:rsid w:val="3AE728C9"/>
    <w:rsid w:val="3AEC42BC"/>
    <w:rsid w:val="3B02185C"/>
    <w:rsid w:val="3B0A7C29"/>
    <w:rsid w:val="3B0B79C7"/>
    <w:rsid w:val="3B0F1A03"/>
    <w:rsid w:val="3B137D3D"/>
    <w:rsid w:val="3B2A4030"/>
    <w:rsid w:val="3B3616FD"/>
    <w:rsid w:val="3B441291"/>
    <w:rsid w:val="3B4A51A8"/>
    <w:rsid w:val="3B5014DB"/>
    <w:rsid w:val="3B711D38"/>
    <w:rsid w:val="3B730A26"/>
    <w:rsid w:val="3B7E4D5D"/>
    <w:rsid w:val="3B812F05"/>
    <w:rsid w:val="3B9A0C5B"/>
    <w:rsid w:val="3B9A7EDD"/>
    <w:rsid w:val="3BA75B51"/>
    <w:rsid w:val="3BA90120"/>
    <w:rsid w:val="3BB41668"/>
    <w:rsid w:val="3BB54D17"/>
    <w:rsid w:val="3BB76081"/>
    <w:rsid w:val="3BBF3F1C"/>
    <w:rsid w:val="3BC41740"/>
    <w:rsid w:val="3BC63D42"/>
    <w:rsid w:val="3BCA4360"/>
    <w:rsid w:val="3BDF7FE6"/>
    <w:rsid w:val="3BE23632"/>
    <w:rsid w:val="3BE345C4"/>
    <w:rsid w:val="3BE42505"/>
    <w:rsid w:val="3BE64ED1"/>
    <w:rsid w:val="3BE91C3E"/>
    <w:rsid w:val="3BF05B33"/>
    <w:rsid w:val="3BF3526B"/>
    <w:rsid w:val="3C0D4C3C"/>
    <w:rsid w:val="3C15255F"/>
    <w:rsid w:val="3C3441E4"/>
    <w:rsid w:val="3C390503"/>
    <w:rsid w:val="3C3E7065"/>
    <w:rsid w:val="3C400BA5"/>
    <w:rsid w:val="3C436468"/>
    <w:rsid w:val="3C485B8B"/>
    <w:rsid w:val="3C7050E2"/>
    <w:rsid w:val="3C733C5C"/>
    <w:rsid w:val="3C793F97"/>
    <w:rsid w:val="3C802182"/>
    <w:rsid w:val="3C814BF9"/>
    <w:rsid w:val="3C917532"/>
    <w:rsid w:val="3CB17C41"/>
    <w:rsid w:val="3CB60FF3"/>
    <w:rsid w:val="3CC2593E"/>
    <w:rsid w:val="3CCB38F8"/>
    <w:rsid w:val="3CE05DC4"/>
    <w:rsid w:val="3CEF7279"/>
    <w:rsid w:val="3CF439AC"/>
    <w:rsid w:val="3CF45139"/>
    <w:rsid w:val="3CFE449C"/>
    <w:rsid w:val="3D0433A8"/>
    <w:rsid w:val="3D0719F7"/>
    <w:rsid w:val="3D0A4BEF"/>
    <w:rsid w:val="3D0D2931"/>
    <w:rsid w:val="3D0F0457"/>
    <w:rsid w:val="3D2832C7"/>
    <w:rsid w:val="3D2F4986"/>
    <w:rsid w:val="3D2F592B"/>
    <w:rsid w:val="3D3C1059"/>
    <w:rsid w:val="3D3D3216"/>
    <w:rsid w:val="3D4134C5"/>
    <w:rsid w:val="3D485717"/>
    <w:rsid w:val="3D661024"/>
    <w:rsid w:val="3D6A2559"/>
    <w:rsid w:val="3D74475E"/>
    <w:rsid w:val="3D7E406F"/>
    <w:rsid w:val="3D8D3E1A"/>
    <w:rsid w:val="3D9B457D"/>
    <w:rsid w:val="3DA65B2E"/>
    <w:rsid w:val="3DA85FA7"/>
    <w:rsid w:val="3DAB4670"/>
    <w:rsid w:val="3DB4061E"/>
    <w:rsid w:val="3DB520C9"/>
    <w:rsid w:val="3DBF3C2B"/>
    <w:rsid w:val="3DC2630E"/>
    <w:rsid w:val="3DE42777"/>
    <w:rsid w:val="3DE660C4"/>
    <w:rsid w:val="3DF31B27"/>
    <w:rsid w:val="3DFD48A2"/>
    <w:rsid w:val="3E022403"/>
    <w:rsid w:val="3E1453C8"/>
    <w:rsid w:val="3E300685"/>
    <w:rsid w:val="3E3F4D6C"/>
    <w:rsid w:val="3E55133B"/>
    <w:rsid w:val="3E5C0D63"/>
    <w:rsid w:val="3E5F540E"/>
    <w:rsid w:val="3E675A9D"/>
    <w:rsid w:val="3E691CCF"/>
    <w:rsid w:val="3E6C617A"/>
    <w:rsid w:val="3E6F4FF3"/>
    <w:rsid w:val="3E742C68"/>
    <w:rsid w:val="3E896985"/>
    <w:rsid w:val="3E9C2612"/>
    <w:rsid w:val="3EA32C08"/>
    <w:rsid w:val="3EA57073"/>
    <w:rsid w:val="3EAD6A5B"/>
    <w:rsid w:val="3EB331E4"/>
    <w:rsid w:val="3EB92D70"/>
    <w:rsid w:val="3EBF1A5A"/>
    <w:rsid w:val="3EC7548D"/>
    <w:rsid w:val="3ECF60F0"/>
    <w:rsid w:val="3ED420B9"/>
    <w:rsid w:val="3ED73FF0"/>
    <w:rsid w:val="3EE35336"/>
    <w:rsid w:val="3EF47F37"/>
    <w:rsid w:val="3EFE692D"/>
    <w:rsid w:val="3F13702C"/>
    <w:rsid w:val="3F1E435D"/>
    <w:rsid w:val="3F247133"/>
    <w:rsid w:val="3F3146B5"/>
    <w:rsid w:val="3F36206C"/>
    <w:rsid w:val="3F3E5024"/>
    <w:rsid w:val="3F451FD1"/>
    <w:rsid w:val="3F490CB5"/>
    <w:rsid w:val="3F591E5E"/>
    <w:rsid w:val="3F5D71D2"/>
    <w:rsid w:val="3F5E71F2"/>
    <w:rsid w:val="3F674A08"/>
    <w:rsid w:val="3F684F93"/>
    <w:rsid w:val="3F6B7A13"/>
    <w:rsid w:val="3F716AD8"/>
    <w:rsid w:val="3F723F54"/>
    <w:rsid w:val="3F775893"/>
    <w:rsid w:val="3FA01D93"/>
    <w:rsid w:val="3FA522E6"/>
    <w:rsid w:val="3FA66570"/>
    <w:rsid w:val="3FB74103"/>
    <w:rsid w:val="3FD32AE1"/>
    <w:rsid w:val="3FDC39DD"/>
    <w:rsid w:val="3FFC1167"/>
    <w:rsid w:val="3FFD66E6"/>
    <w:rsid w:val="400E40F2"/>
    <w:rsid w:val="40104433"/>
    <w:rsid w:val="40161218"/>
    <w:rsid w:val="401A7D4B"/>
    <w:rsid w:val="402130C0"/>
    <w:rsid w:val="40244971"/>
    <w:rsid w:val="402B37FA"/>
    <w:rsid w:val="402B6CBD"/>
    <w:rsid w:val="40322F72"/>
    <w:rsid w:val="40424127"/>
    <w:rsid w:val="404503AB"/>
    <w:rsid w:val="40520D87"/>
    <w:rsid w:val="4059792C"/>
    <w:rsid w:val="405D4CEC"/>
    <w:rsid w:val="40646D0C"/>
    <w:rsid w:val="406B3BF6"/>
    <w:rsid w:val="4078400A"/>
    <w:rsid w:val="409C130B"/>
    <w:rsid w:val="409C656D"/>
    <w:rsid w:val="40AD10F5"/>
    <w:rsid w:val="40AF2AF7"/>
    <w:rsid w:val="40B81ADC"/>
    <w:rsid w:val="40C6101C"/>
    <w:rsid w:val="40C65691"/>
    <w:rsid w:val="40C81049"/>
    <w:rsid w:val="40CE344C"/>
    <w:rsid w:val="40CF23D7"/>
    <w:rsid w:val="40E840E4"/>
    <w:rsid w:val="40E90BF6"/>
    <w:rsid w:val="40EA5463"/>
    <w:rsid w:val="40F503F0"/>
    <w:rsid w:val="40FC5196"/>
    <w:rsid w:val="41007300"/>
    <w:rsid w:val="410160BE"/>
    <w:rsid w:val="410C48DE"/>
    <w:rsid w:val="41151DDA"/>
    <w:rsid w:val="41256843"/>
    <w:rsid w:val="412D70FE"/>
    <w:rsid w:val="413633AB"/>
    <w:rsid w:val="413A3ED2"/>
    <w:rsid w:val="413E51D4"/>
    <w:rsid w:val="414E18F2"/>
    <w:rsid w:val="41562FC5"/>
    <w:rsid w:val="415C1A0D"/>
    <w:rsid w:val="416C1A0A"/>
    <w:rsid w:val="41795D16"/>
    <w:rsid w:val="418238EE"/>
    <w:rsid w:val="41834205"/>
    <w:rsid w:val="41A2137B"/>
    <w:rsid w:val="41B1450E"/>
    <w:rsid w:val="41B95B1A"/>
    <w:rsid w:val="41C007E7"/>
    <w:rsid w:val="41C163EC"/>
    <w:rsid w:val="41C94428"/>
    <w:rsid w:val="41CD64F3"/>
    <w:rsid w:val="41D659E7"/>
    <w:rsid w:val="41D7472B"/>
    <w:rsid w:val="41DB56E0"/>
    <w:rsid w:val="41FF6CEC"/>
    <w:rsid w:val="42133F74"/>
    <w:rsid w:val="421500AF"/>
    <w:rsid w:val="421A24AB"/>
    <w:rsid w:val="42254279"/>
    <w:rsid w:val="422640CB"/>
    <w:rsid w:val="422D0244"/>
    <w:rsid w:val="422F0A9D"/>
    <w:rsid w:val="42354032"/>
    <w:rsid w:val="42426BD9"/>
    <w:rsid w:val="424F7CB9"/>
    <w:rsid w:val="42581EFB"/>
    <w:rsid w:val="42640F49"/>
    <w:rsid w:val="42694F58"/>
    <w:rsid w:val="427F3B44"/>
    <w:rsid w:val="4282485E"/>
    <w:rsid w:val="42983B6B"/>
    <w:rsid w:val="429868FC"/>
    <w:rsid w:val="429C0DE9"/>
    <w:rsid w:val="42A1420C"/>
    <w:rsid w:val="42A45AE6"/>
    <w:rsid w:val="42B06439"/>
    <w:rsid w:val="42B1647E"/>
    <w:rsid w:val="42B90999"/>
    <w:rsid w:val="42BB4020"/>
    <w:rsid w:val="42BD2B83"/>
    <w:rsid w:val="42C95CE9"/>
    <w:rsid w:val="42D523F8"/>
    <w:rsid w:val="42D52872"/>
    <w:rsid w:val="42D75573"/>
    <w:rsid w:val="42EB3DC0"/>
    <w:rsid w:val="42F36125"/>
    <w:rsid w:val="42FA565B"/>
    <w:rsid w:val="4306126D"/>
    <w:rsid w:val="430A25B2"/>
    <w:rsid w:val="4312509C"/>
    <w:rsid w:val="43142D7F"/>
    <w:rsid w:val="431772CE"/>
    <w:rsid w:val="431E54D1"/>
    <w:rsid w:val="4320144B"/>
    <w:rsid w:val="4322116E"/>
    <w:rsid w:val="433E1A96"/>
    <w:rsid w:val="4348021F"/>
    <w:rsid w:val="434A6098"/>
    <w:rsid w:val="434F15AD"/>
    <w:rsid w:val="435B1AF8"/>
    <w:rsid w:val="4373767B"/>
    <w:rsid w:val="437C611B"/>
    <w:rsid w:val="43963680"/>
    <w:rsid w:val="43B6787E"/>
    <w:rsid w:val="43CD7A4D"/>
    <w:rsid w:val="43D85A47"/>
    <w:rsid w:val="43E02B4D"/>
    <w:rsid w:val="43FE67AB"/>
    <w:rsid w:val="43FF2EBD"/>
    <w:rsid w:val="440E3217"/>
    <w:rsid w:val="44111CF2"/>
    <w:rsid w:val="4417239C"/>
    <w:rsid w:val="44203777"/>
    <w:rsid w:val="442510D9"/>
    <w:rsid w:val="442D6258"/>
    <w:rsid w:val="44360ECC"/>
    <w:rsid w:val="445F1CC4"/>
    <w:rsid w:val="44611F60"/>
    <w:rsid w:val="44686EFD"/>
    <w:rsid w:val="4488337C"/>
    <w:rsid w:val="44896D41"/>
    <w:rsid w:val="448B2315"/>
    <w:rsid w:val="449D3085"/>
    <w:rsid w:val="44A80E10"/>
    <w:rsid w:val="44BD2A07"/>
    <w:rsid w:val="44C45FCB"/>
    <w:rsid w:val="44C97E40"/>
    <w:rsid w:val="44CF5F25"/>
    <w:rsid w:val="44E43A96"/>
    <w:rsid w:val="44EB17AA"/>
    <w:rsid w:val="44F468B0"/>
    <w:rsid w:val="44FC113D"/>
    <w:rsid w:val="44FE772F"/>
    <w:rsid w:val="451F76A5"/>
    <w:rsid w:val="452125D1"/>
    <w:rsid w:val="452523E7"/>
    <w:rsid w:val="452D567B"/>
    <w:rsid w:val="4532699C"/>
    <w:rsid w:val="453D0FCE"/>
    <w:rsid w:val="45451E45"/>
    <w:rsid w:val="45466251"/>
    <w:rsid w:val="454D7D6F"/>
    <w:rsid w:val="45541B0F"/>
    <w:rsid w:val="45576E3F"/>
    <w:rsid w:val="45592BB7"/>
    <w:rsid w:val="45594854"/>
    <w:rsid w:val="456B3B85"/>
    <w:rsid w:val="4574177A"/>
    <w:rsid w:val="45763666"/>
    <w:rsid w:val="4594647C"/>
    <w:rsid w:val="45A2212D"/>
    <w:rsid w:val="45A638B8"/>
    <w:rsid w:val="45A837D4"/>
    <w:rsid w:val="45B139BA"/>
    <w:rsid w:val="45B415FE"/>
    <w:rsid w:val="45BC4EF4"/>
    <w:rsid w:val="45BE6EBE"/>
    <w:rsid w:val="45CA2F92"/>
    <w:rsid w:val="45D3296A"/>
    <w:rsid w:val="45D87897"/>
    <w:rsid w:val="45EE21EB"/>
    <w:rsid w:val="4607496B"/>
    <w:rsid w:val="4609638B"/>
    <w:rsid w:val="460B5051"/>
    <w:rsid w:val="46197C61"/>
    <w:rsid w:val="461F4717"/>
    <w:rsid w:val="4623010C"/>
    <w:rsid w:val="46337302"/>
    <w:rsid w:val="46376036"/>
    <w:rsid w:val="46636F9C"/>
    <w:rsid w:val="46713CD1"/>
    <w:rsid w:val="467557CF"/>
    <w:rsid w:val="46761547"/>
    <w:rsid w:val="46793851"/>
    <w:rsid w:val="467C4584"/>
    <w:rsid w:val="467D08B8"/>
    <w:rsid w:val="46852559"/>
    <w:rsid w:val="46902609"/>
    <w:rsid w:val="469A6FE4"/>
    <w:rsid w:val="46BC5EB3"/>
    <w:rsid w:val="46BD6055"/>
    <w:rsid w:val="46C27E2B"/>
    <w:rsid w:val="46C8713D"/>
    <w:rsid w:val="46CB2BC9"/>
    <w:rsid w:val="46CF3224"/>
    <w:rsid w:val="46D46C0A"/>
    <w:rsid w:val="46D544C0"/>
    <w:rsid w:val="46EB08FC"/>
    <w:rsid w:val="46F801AE"/>
    <w:rsid w:val="46FF3DE8"/>
    <w:rsid w:val="470612EB"/>
    <w:rsid w:val="47086190"/>
    <w:rsid w:val="470923BB"/>
    <w:rsid w:val="471F76A0"/>
    <w:rsid w:val="47267DFD"/>
    <w:rsid w:val="472C5DFB"/>
    <w:rsid w:val="472E3BD0"/>
    <w:rsid w:val="47322C63"/>
    <w:rsid w:val="47362018"/>
    <w:rsid w:val="47427B69"/>
    <w:rsid w:val="47564E6D"/>
    <w:rsid w:val="475A101B"/>
    <w:rsid w:val="475A5C5A"/>
    <w:rsid w:val="475C75C5"/>
    <w:rsid w:val="475D24B2"/>
    <w:rsid w:val="47726FAC"/>
    <w:rsid w:val="477C41B9"/>
    <w:rsid w:val="477C460B"/>
    <w:rsid w:val="477E6A60"/>
    <w:rsid w:val="477F4430"/>
    <w:rsid w:val="478A7162"/>
    <w:rsid w:val="478D08F6"/>
    <w:rsid w:val="479C4C5C"/>
    <w:rsid w:val="47A031DD"/>
    <w:rsid w:val="47B64190"/>
    <w:rsid w:val="47C15493"/>
    <w:rsid w:val="47C5290E"/>
    <w:rsid w:val="47C615D0"/>
    <w:rsid w:val="47D0044E"/>
    <w:rsid w:val="47E043E7"/>
    <w:rsid w:val="47E2152D"/>
    <w:rsid w:val="47F17DDC"/>
    <w:rsid w:val="47F5093F"/>
    <w:rsid w:val="48072E68"/>
    <w:rsid w:val="48111670"/>
    <w:rsid w:val="48221055"/>
    <w:rsid w:val="48233C96"/>
    <w:rsid w:val="48274AEC"/>
    <w:rsid w:val="48331CB3"/>
    <w:rsid w:val="483A4653"/>
    <w:rsid w:val="484675CF"/>
    <w:rsid w:val="484F4136"/>
    <w:rsid w:val="485864A7"/>
    <w:rsid w:val="486F7C89"/>
    <w:rsid w:val="487931AB"/>
    <w:rsid w:val="487A3659"/>
    <w:rsid w:val="48994298"/>
    <w:rsid w:val="48A567D1"/>
    <w:rsid w:val="48AB4C9A"/>
    <w:rsid w:val="48C77E38"/>
    <w:rsid w:val="48D10CB7"/>
    <w:rsid w:val="48D154B8"/>
    <w:rsid w:val="48F02D11"/>
    <w:rsid w:val="48F549A5"/>
    <w:rsid w:val="492C5CBD"/>
    <w:rsid w:val="493556E9"/>
    <w:rsid w:val="4936263B"/>
    <w:rsid w:val="49373C5B"/>
    <w:rsid w:val="494B3BAE"/>
    <w:rsid w:val="495723CC"/>
    <w:rsid w:val="49586A5A"/>
    <w:rsid w:val="495B314E"/>
    <w:rsid w:val="495B7D5F"/>
    <w:rsid w:val="4968161B"/>
    <w:rsid w:val="49865D2D"/>
    <w:rsid w:val="49897A7B"/>
    <w:rsid w:val="49915B3B"/>
    <w:rsid w:val="49935043"/>
    <w:rsid w:val="49952BCA"/>
    <w:rsid w:val="49975A5C"/>
    <w:rsid w:val="499D2A91"/>
    <w:rsid w:val="49A90EDF"/>
    <w:rsid w:val="49AE2DA6"/>
    <w:rsid w:val="49B76F90"/>
    <w:rsid w:val="49CD36F0"/>
    <w:rsid w:val="49D16F4E"/>
    <w:rsid w:val="49D706F2"/>
    <w:rsid w:val="49D96075"/>
    <w:rsid w:val="49DE79BD"/>
    <w:rsid w:val="49E05655"/>
    <w:rsid w:val="49E113CD"/>
    <w:rsid w:val="49F333B2"/>
    <w:rsid w:val="4A1672C9"/>
    <w:rsid w:val="4A1F61AE"/>
    <w:rsid w:val="4A2F038B"/>
    <w:rsid w:val="4A3147FD"/>
    <w:rsid w:val="4A483839"/>
    <w:rsid w:val="4A5D4EF8"/>
    <w:rsid w:val="4A7C307C"/>
    <w:rsid w:val="4AA26FEC"/>
    <w:rsid w:val="4AA47812"/>
    <w:rsid w:val="4AB52CEB"/>
    <w:rsid w:val="4ABA76D3"/>
    <w:rsid w:val="4AC12D6F"/>
    <w:rsid w:val="4ACA1E61"/>
    <w:rsid w:val="4AD625B4"/>
    <w:rsid w:val="4AEF3676"/>
    <w:rsid w:val="4B0829C8"/>
    <w:rsid w:val="4B1A5E57"/>
    <w:rsid w:val="4B303F71"/>
    <w:rsid w:val="4B321EE0"/>
    <w:rsid w:val="4B333802"/>
    <w:rsid w:val="4B335231"/>
    <w:rsid w:val="4B410A13"/>
    <w:rsid w:val="4B5E5C11"/>
    <w:rsid w:val="4B606EE5"/>
    <w:rsid w:val="4B746F3B"/>
    <w:rsid w:val="4B7805CE"/>
    <w:rsid w:val="4B8841F9"/>
    <w:rsid w:val="4B9073A9"/>
    <w:rsid w:val="4B9825BC"/>
    <w:rsid w:val="4B9870AD"/>
    <w:rsid w:val="4B9C7DB2"/>
    <w:rsid w:val="4B9F32EE"/>
    <w:rsid w:val="4BA10E14"/>
    <w:rsid w:val="4BA5784C"/>
    <w:rsid w:val="4BC92119"/>
    <w:rsid w:val="4BD51BFB"/>
    <w:rsid w:val="4BDD189C"/>
    <w:rsid w:val="4BE40D01"/>
    <w:rsid w:val="4BEC2132"/>
    <w:rsid w:val="4BEE392E"/>
    <w:rsid w:val="4BF859A0"/>
    <w:rsid w:val="4BF96DFF"/>
    <w:rsid w:val="4BFB49C8"/>
    <w:rsid w:val="4BFE3A3F"/>
    <w:rsid w:val="4C0575F5"/>
    <w:rsid w:val="4C281285"/>
    <w:rsid w:val="4C357492"/>
    <w:rsid w:val="4C417F01"/>
    <w:rsid w:val="4C4266C9"/>
    <w:rsid w:val="4C4919D3"/>
    <w:rsid w:val="4C5A5F6F"/>
    <w:rsid w:val="4C5A6010"/>
    <w:rsid w:val="4C5D158A"/>
    <w:rsid w:val="4C6201AB"/>
    <w:rsid w:val="4C62195E"/>
    <w:rsid w:val="4C676883"/>
    <w:rsid w:val="4C6813E7"/>
    <w:rsid w:val="4C80635E"/>
    <w:rsid w:val="4C891A57"/>
    <w:rsid w:val="4C8F3363"/>
    <w:rsid w:val="4CAE0B91"/>
    <w:rsid w:val="4CAE4D4E"/>
    <w:rsid w:val="4CB15087"/>
    <w:rsid w:val="4CB32C52"/>
    <w:rsid w:val="4CBB5EAC"/>
    <w:rsid w:val="4CBC6B48"/>
    <w:rsid w:val="4CBF4276"/>
    <w:rsid w:val="4CF75138"/>
    <w:rsid w:val="4D0E4287"/>
    <w:rsid w:val="4D1473C4"/>
    <w:rsid w:val="4D184E23"/>
    <w:rsid w:val="4D21045F"/>
    <w:rsid w:val="4D227BA9"/>
    <w:rsid w:val="4D30400E"/>
    <w:rsid w:val="4D630917"/>
    <w:rsid w:val="4D68649A"/>
    <w:rsid w:val="4D6D1768"/>
    <w:rsid w:val="4D7A1751"/>
    <w:rsid w:val="4D820DBD"/>
    <w:rsid w:val="4D8D5FE2"/>
    <w:rsid w:val="4D9F1383"/>
    <w:rsid w:val="4DA44BEC"/>
    <w:rsid w:val="4DB447D1"/>
    <w:rsid w:val="4DBD10FA"/>
    <w:rsid w:val="4DC360A2"/>
    <w:rsid w:val="4DCC2BFC"/>
    <w:rsid w:val="4DE247A0"/>
    <w:rsid w:val="4DE90850"/>
    <w:rsid w:val="4DED4962"/>
    <w:rsid w:val="4DF96CE5"/>
    <w:rsid w:val="4DFD166F"/>
    <w:rsid w:val="4E083206"/>
    <w:rsid w:val="4E102281"/>
    <w:rsid w:val="4E1A7775"/>
    <w:rsid w:val="4E236D98"/>
    <w:rsid w:val="4E2F6C44"/>
    <w:rsid w:val="4E4A7541"/>
    <w:rsid w:val="4E52248E"/>
    <w:rsid w:val="4E56080A"/>
    <w:rsid w:val="4E631659"/>
    <w:rsid w:val="4E8428DD"/>
    <w:rsid w:val="4E851421"/>
    <w:rsid w:val="4E922729"/>
    <w:rsid w:val="4EA01229"/>
    <w:rsid w:val="4EA34559"/>
    <w:rsid w:val="4EA94F5C"/>
    <w:rsid w:val="4EBC3FAF"/>
    <w:rsid w:val="4EC834C1"/>
    <w:rsid w:val="4EDB463D"/>
    <w:rsid w:val="4EDE7072"/>
    <w:rsid w:val="4EE81195"/>
    <w:rsid w:val="4EF53E96"/>
    <w:rsid w:val="4F0E1C3A"/>
    <w:rsid w:val="4F1348EA"/>
    <w:rsid w:val="4F2C520F"/>
    <w:rsid w:val="4F2E5F8F"/>
    <w:rsid w:val="4F34559E"/>
    <w:rsid w:val="4F3B7DBF"/>
    <w:rsid w:val="4F4F4AE4"/>
    <w:rsid w:val="4F5450F9"/>
    <w:rsid w:val="4F586AD3"/>
    <w:rsid w:val="4F5871D3"/>
    <w:rsid w:val="4F5C39D0"/>
    <w:rsid w:val="4F6173B7"/>
    <w:rsid w:val="4F643CF8"/>
    <w:rsid w:val="4F656798"/>
    <w:rsid w:val="4F670D87"/>
    <w:rsid w:val="4F690C33"/>
    <w:rsid w:val="4F692009"/>
    <w:rsid w:val="4F736404"/>
    <w:rsid w:val="4F854C80"/>
    <w:rsid w:val="4F8E16AF"/>
    <w:rsid w:val="4FC04A13"/>
    <w:rsid w:val="4FC3299E"/>
    <w:rsid w:val="4FCE53C8"/>
    <w:rsid w:val="4FDA1A88"/>
    <w:rsid w:val="4FDF21E5"/>
    <w:rsid w:val="4FDF5DEF"/>
    <w:rsid w:val="4FE319FB"/>
    <w:rsid w:val="4FE45773"/>
    <w:rsid w:val="4FE47521"/>
    <w:rsid w:val="4FF66403"/>
    <w:rsid w:val="4FFE38C7"/>
    <w:rsid w:val="50075DDD"/>
    <w:rsid w:val="500F2241"/>
    <w:rsid w:val="500F7873"/>
    <w:rsid w:val="50174EAE"/>
    <w:rsid w:val="50190E9B"/>
    <w:rsid w:val="502B5150"/>
    <w:rsid w:val="503069BE"/>
    <w:rsid w:val="503107CE"/>
    <w:rsid w:val="50342945"/>
    <w:rsid w:val="503B651D"/>
    <w:rsid w:val="503E4E84"/>
    <w:rsid w:val="504B57F2"/>
    <w:rsid w:val="504D50C7"/>
    <w:rsid w:val="504E5AB6"/>
    <w:rsid w:val="505B3D48"/>
    <w:rsid w:val="505F63B7"/>
    <w:rsid w:val="50715F78"/>
    <w:rsid w:val="50722D7F"/>
    <w:rsid w:val="50861674"/>
    <w:rsid w:val="50983850"/>
    <w:rsid w:val="50BF52A2"/>
    <w:rsid w:val="50CC4A7B"/>
    <w:rsid w:val="50CE4F37"/>
    <w:rsid w:val="50E5735B"/>
    <w:rsid w:val="50E75536"/>
    <w:rsid w:val="50EC0933"/>
    <w:rsid w:val="50F33EC0"/>
    <w:rsid w:val="50FE4730"/>
    <w:rsid w:val="510E4E32"/>
    <w:rsid w:val="5110328B"/>
    <w:rsid w:val="511219A9"/>
    <w:rsid w:val="51136310"/>
    <w:rsid w:val="511F4195"/>
    <w:rsid w:val="51204A0A"/>
    <w:rsid w:val="512255E2"/>
    <w:rsid w:val="51264753"/>
    <w:rsid w:val="512838BF"/>
    <w:rsid w:val="512B6CD7"/>
    <w:rsid w:val="51336CBF"/>
    <w:rsid w:val="51363DAD"/>
    <w:rsid w:val="513910B5"/>
    <w:rsid w:val="5143179F"/>
    <w:rsid w:val="51663F2C"/>
    <w:rsid w:val="516A3794"/>
    <w:rsid w:val="517A4E3C"/>
    <w:rsid w:val="51894768"/>
    <w:rsid w:val="518D3B55"/>
    <w:rsid w:val="51B66C9C"/>
    <w:rsid w:val="51B72047"/>
    <w:rsid w:val="51B832E0"/>
    <w:rsid w:val="51BD50E2"/>
    <w:rsid w:val="51BE067F"/>
    <w:rsid w:val="51C63C21"/>
    <w:rsid w:val="51CD2024"/>
    <w:rsid w:val="51D57C77"/>
    <w:rsid w:val="51D7103C"/>
    <w:rsid w:val="51E62684"/>
    <w:rsid w:val="51EA5FAC"/>
    <w:rsid w:val="51EC45B4"/>
    <w:rsid w:val="51EE4687"/>
    <w:rsid w:val="51EF28F9"/>
    <w:rsid w:val="51F21F4B"/>
    <w:rsid w:val="51F93035"/>
    <w:rsid w:val="51F96DF3"/>
    <w:rsid w:val="51FA12C2"/>
    <w:rsid w:val="51FE0D6E"/>
    <w:rsid w:val="52037F9C"/>
    <w:rsid w:val="522765DC"/>
    <w:rsid w:val="522A1836"/>
    <w:rsid w:val="522A1F66"/>
    <w:rsid w:val="522A4E1B"/>
    <w:rsid w:val="522C2366"/>
    <w:rsid w:val="522C5DFE"/>
    <w:rsid w:val="5232489A"/>
    <w:rsid w:val="52351D6E"/>
    <w:rsid w:val="524349D3"/>
    <w:rsid w:val="52573955"/>
    <w:rsid w:val="52674CB7"/>
    <w:rsid w:val="527D4801"/>
    <w:rsid w:val="528A121C"/>
    <w:rsid w:val="528B637A"/>
    <w:rsid w:val="52AC48D3"/>
    <w:rsid w:val="52B007B9"/>
    <w:rsid w:val="52B77DA1"/>
    <w:rsid w:val="52C91724"/>
    <w:rsid w:val="52CC4A7C"/>
    <w:rsid w:val="52E666F6"/>
    <w:rsid w:val="52E923B8"/>
    <w:rsid w:val="52FA4BEC"/>
    <w:rsid w:val="52FB1BFC"/>
    <w:rsid w:val="53147604"/>
    <w:rsid w:val="531719BC"/>
    <w:rsid w:val="53191BD8"/>
    <w:rsid w:val="532E38A8"/>
    <w:rsid w:val="53390A5F"/>
    <w:rsid w:val="534227E1"/>
    <w:rsid w:val="536B0F02"/>
    <w:rsid w:val="53726584"/>
    <w:rsid w:val="53755060"/>
    <w:rsid w:val="537F7C8D"/>
    <w:rsid w:val="53880BBC"/>
    <w:rsid w:val="538818D5"/>
    <w:rsid w:val="53883FED"/>
    <w:rsid w:val="538A4DD1"/>
    <w:rsid w:val="538F3ECF"/>
    <w:rsid w:val="53AB2C72"/>
    <w:rsid w:val="53AD76DF"/>
    <w:rsid w:val="53BB05F3"/>
    <w:rsid w:val="53BE4875"/>
    <w:rsid w:val="53C06973"/>
    <w:rsid w:val="53CF0673"/>
    <w:rsid w:val="53D224B3"/>
    <w:rsid w:val="53D57203"/>
    <w:rsid w:val="53D708D8"/>
    <w:rsid w:val="53E329CC"/>
    <w:rsid w:val="53EA2DBE"/>
    <w:rsid w:val="53EE319E"/>
    <w:rsid w:val="53F42878"/>
    <w:rsid w:val="54014B46"/>
    <w:rsid w:val="540201D9"/>
    <w:rsid w:val="54095280"/>
    <w:rsid w:val="54307C7C"/>
    <w:rsid w:val="54563D75"/>
    <w:rsid w:val="545C1D7C"/>
    <w:rsid w:val="545C7FCE"/>
    <w:rsid w:val="54690E41"/>
    <w:rsid w:val="546E385E"/>
    <w:rsid w:val="54701451"/>
    <w:rsid w:val="5491357A"/>
    <w:rsid w:val="549E2395"/>
    <w:rsid w:val="54A6344E"/>
    <w:rsid w:val="54AC6BF3"/>
    <w:rsid w:val="54AE25A7"/>
    <w:rsid w:val="54AF2895"/>
    <w:rsid w:val="54BC70E4"/>
    <w:rsid w:val="54C076F9"/>
    <w:rsid w:val="54C2149E"/>
    <w:rsid w:val="54C84F84"/>
    <w:rsid w:val="54C87412"/>
    <w:rsid w:val="54CA2E15"/>
    <w:rsid w:val="54DE7511"/>
    <w:rsid w:val="54E75661"/>
    <w:rsid w:val="54EF0E42"/>
    <w:rsid w:val="54F3764B"/>
    <w:rsid w:val="54F613EC"/>
    <w:rsid w:val="54FF365B"/>
    <w:rsid w:val="550A5A1C"/>
    <w:rsid w:val="5511660D"/>
    <w:rsid w:val="55150D67"/>
    <w:rsid w:val="5525408D"/>
    <w:rsid w:val="552A1E7A"/>
    <w:rsid w:val="55347222"/>
    <w:rsid w:val="55497557"/>
    <w:rsid w:val="55532EF9"/>
    <w:rsid w:val="55572544"/>
    <w:rsid w:val="5563028F"/>
    <w:rsid w:val="556E61A4"/>
    <w:rsid w:val="557439E4"/>
    <w:rsid w:val="55794B4B"/>
    <w:rsid w:val="557C55E2"/>
    <w:rsid w:val="558275C0"/>
    <w:rsid w:val="559317CE"/>
    <w:rsid w:val="559D4E76"/>
    <w:rsid w:val="55A27C63"/>
    <w:rsid w:val="55B961B3"/>
    <w:rsid w:val="55C776C9"/>
    <w:rsid w:val="55C973D1"/>
    <w:rsid w:val="55CD06A2"/>
    <w:rsid w:val="55D1679A"/>
    <w:rsid w:val="55D763CE"/>
    <w:rsid w:val="55DC62D1"/>
    <w:rsid w:val="55F06C20"/>
    <w:rsid w:val="55FF3E23"/>
    <w:rsid w:val="56051AA1"/>
    <w:rsid w:val="56077F5F"/>
    <w:rsid w:val="560C262C"/>
    <w:rsid w:val="5620687F"/>
    <w:rsid w:val="56394DE4"/>
    <w:rsid w:val="564A4CB0"/>
    <w:rsid w:val="564B20A8"/>
    <w:rsid w:val="56644F18"/>
    <w:rsid w:val="567B71BE"/>
    <w:rsid w:val="569D482F"/>
    <w:rsid w:val="56B80CA8"/>
    <w:rsid w:val="56BD475C"/>
    <w:rsid w:val="56C51FF5"/>
    <w:rsid w:val="56CB1B37"/>
    <w:rsid w:val="56CF7EF9"/>
    <w:rsid w:val="56D81418"/>
    <w:rsid w:val="56DB1320"/>
    <w:rsid w:val="56DC556F"/>
    <w:rsid w:val="56E041B0"/>
    <w:rsid w:val="56E13573"/>
    <w:rsid w:val="56E61348"/>
    <w:rsid w:val="56EC34EE"/>
    <w:rsid w:val="56F73FDE"/>
    <w:rsid w:val="5705303D"/>
    <w:rsid w:val="57062473"/>
    <w:rsid w:val="57165E5A"/>
    <w:rsid w:val="571E4AA0"/>
    <w:rsid w:val="5728482F"/>
    <w:rsid w:val="572F7C0F"/>
    <w:rsid w:val="573D092B"/>
    <w:rsid w:val="573E6F87"/>
    <w:rsid w:val="57405985"/>
    <w:rsid w:val="57406838"/>
    <w:rsid w:val="57452F9B"/>
    <w:rsid w:val="57541431"/>
    <w:rsid w:val="575B79FD"/>
    <w:rsid w:val="575C2016"/>
    <w:rsid w:val="575E6E86"/>
    <w:rsid w:val="576B6907"/>
    <w:rsid w:val="57841D5B"/>
    <w:rsid w:val="578A30A4"/>
    <w:rsid w:val="579E01FF"/>
    <w:rsid w:val="57A54331"/>
    <w:rsid w:val="57D3539C"/>
    <w:rsid w:val="57DC1F64"/>
    <w:rsid w:val="57E81EE8"/>
    <w:rsid w:val="57F709CD"/>
    <w:rsid w:val="57F76C25"/>
    <w:rsid w:val="58020E8D"/>
    <w:rsid w:val="580469B3"/>
    <w:rsid w:val="580927B3"/>
    <w:rsid w:val="580A3E39"/>
    <w:rsid w:val="5822352B"/>
    <w:rsid w:val="58250A4A"/>
    <w:rsid w:val="583577B2"/>
    <w:rsid w:val="5836691F"/>
    <w:rsid w:val="584809F3"/>
    <w:rsid w:val="584B4C44"/>
    <w:rsid w:val="584F5203"/>
    <w:rsid w:val="585A2D81"/>
    <w:rsid w:val="585D67B4"/>
    <w:rsid w:val="58665457"/>
    <w:rsid w:val="58741C5A"/>
    <w:rsid w:val="587578B0"/>
    <w:rsid w:val="587B1021"/>
    <w:rsid w:val="587F34C2"/>
    <w:rsid w:val="58B11E2A"/>
    <w:rsid w:val="58B161D5"/>
    <w:rsid w:val="58B71A71"/>
    <w:rsid w:val="58BE40E6"/>
    <w:rsid w:val="58C15C82"/>
    <w:rsid w:val="58E564FA"/>
    <w:rsid w:val="58EF2A6D"/>
    <w:rsid w:val="58F2365A"/>
    <w:rsid w:val="59036C6A"/>
    <w:rsid w:val="5906269F"/>
    <w:rsid w:val="59063F87"/>
    <w:rsid w:val="590856DE"/>
    <w:rsid w:val="590A53B0"/>
    <w:rsid w:val="591E5EEF"/>
    <w:rsid w:val="5924576D"/>
    <w:rsid w:val="592D3CE7"/>
    <w:rsid w:val="59376914"/>
    <w:rsid w:val="593D5DB9"/>
    <w:rsid w:val="593E6EDF"/>
    <w:rsid w:val="5945486D"/>
    <w:rsid w:val="595217F1"/>
    <w:rsid w:val="59616C1D"/>
    <w:rsid w:val="596A34DE"/>
    <w:rsid w:val="59715CBB"/>
    <w:rsid w:val="59727C29"/>
    <w:rsid w:val="597543DC"/>
    <w:rsid w:val="59815DE1"/>
    <w:rsid w:val="59883613"/>
    <w:rsid w:val="598A6664"/>
    <w:rsid w:val="59B46F19"/>
    <w:rsid w:val="59B67075"/>
    <w:rsid w:val="59B953FC"/>
    <w:rsid w:val="59BA435D"/>
    <w:rsid w:val="59C13ACF"/>
    <w:rsid w:val="59C208D3"/>
    <w:rsid w:val="59CD1026"/>
    <w:rsid w:val="59D11F08"/>
    <w:rsid w:val="59E51F72"/>
    <w:rsid w:val="59E62D48"/>
    <w:rsid w:val="59F64A21"/>
    <w:rsid w:val="59F70789"/>
    <w:rsid w:val="59F760A3"/>
    <w:rsid w:val="5A0F3272"/>
    <w:rsid w:val="5A160C1F"/>
    <w:rsid w:val="5A356191"/>
    <w:rsid w:val="5A414CEA"/>
    <w:rsid w:val="5A5D05FC"/>
    <w:rsid w:val="5A615BD7"/>
    <w:rsid w:val="5A655703"/>
    <w:rsid w:val="5A6D5AB0"/>
    <w:rsid w:val="5A6E2809"/>
    <w:rsid w:val="5A77694C"/>
    <w:rsid w:val="5A802413"/>
    <w:rsid w:val="5A815C10"/>
    <w:rsid w:val="5A940A9B"/>
    <w:rsid w:val="5A953685"/>
    <w:rsid w:val="5AAE7296"/>
    <w:rsid w:val="5ABF12B7"/>
    <w:rsid w:val="5AC83721"/>
    <w:rsid w:val="5ACE5056"/>
    <w:rsid w:val="5AE808E4"/>
    <w:rsid w:val="5B070568"/>
    <w:rsid w:val="5B070C19"/>
    <w:rsid w:val="5B0D2022"/>
    <w:rsid w:val="5B1264C3"/>
    <w:rsid w:val="5B1B13F5"/>
    <w:rsid w:val="5B2E3D47"/>
    <w:rsid w:val="5B322B96"/>
    <w:rsid w:val="5B3C46B5"/>
    <w:rsid w:val="5B410DC4"/>
    <w:rsid w:val="5B411CCC"/>
    <w:rsid w:val="5B5419FF"/>
    <w:rsid w:val="5B57329D"/>
    <w:rsid w:val="5B7104ED"/>
    <w:rsid w:val="5B7A726F"/>
    <w:rsid w:val="5B7C0F56"/>
    <w:rsid w:val="5B9011D0"/>
    <w:rsid w:val="5BA0752D"/>
    <w:rsid w:val="5BAF13CB"/>
    <w:rsid w:val="5BC326E1"/>
    <w:rsid w:val="5BC86423"/>
    <w:rsid w:val="5BCD3CCF"/>
    <w:rsid w:val="5BCD411F"/>
    <w:rsid w:val="5BD14DFE"/>
    <w:rsid w:val="5BD77FE2"/>
    <w:rsid w:val="5BDF674E"/>
    <w:rsid w:val="5BF94355"/>
    <w:rsid w:val="5C0442AB"/>
    <w:rsid w:val="5C0E17F1"/>
    <w:rsid w:val="5C114298"/>
    <w:rsid w:val="5C163158"/>
    <w:rsid w:val="5C1C538E"/>
    <w:rsid w:val="5C270EC2"/>
    <w:rsid w:val="5C2A1E50"/>
    <w:rsid w:val="5C2C09A4"/>
    <w:rsid w:val="5C2D699F"/>
    <w:rsid w:val="5C3334B6"/>
    <w:rsid w:val="5C354405"/>
    <w:rsid w:val="5C582E4B"/>
    <w:rsid w:val="5C621EFA"/>
    <w:rsid w:val="5C622D6F"/>
    <w:rsid w:val="5C675762"/>
    <w:rsid w:val="5C720609"/>
    <w:rsid w:val="5C855BE8"/>
    <w:rsid w:val="5C865065"/>
    <w:rsid w:val="5C872C6D"/>
    <w:rsid w:val="5C891B7C"/>
    <w:rsid w:val="5C8A495A"/>
    <w:rsid w:val="5C8E76B4"/>
    <w:rsid w:val="5C927BFD"/>
    <w:rsid w:val="5C9864E3"/>
    <w:rsid w:val="5CA5068E"/>
    <w:rsid w:val="5CAE5348"/>
    <w:rsid w:val="5CAF1E65"/>
    <w:rsid w:val="5CB8704C"/>
    <w:rsid w:val="5CBD5382"/>
    <w:rsid w:val="5CBF174F"/>
    <w:rsid w:val="5CDA28E7"/>
    <w:rsid w:val="5CDF354A"/>
    <w:rsid w:val="5CE1179B"/>
    <w:rsid w:val="5CE577C4"/>
    <w:rsid w:val="5CE949F0"/>
    <w:rsid w:val="5CED7FE5"/>
    <w:rsid w:val="5CF3243E"/>
    <w:rsid w:val="5D0C437D"/>
    <w:rsid w:val="5D0E2082"/>
    <w:rsid w:val="5D1562A8"/>
    <w:rsid w:val="5D1B3C15"/>
    <w:rsid w:val="5D280611"/>
    <w:rsid w:val="5D2934EA"/>
    <w:rsid w:val="5D417D61"/>
    <w:rsid w:val="5D461B52"/>
    <w:rsid w:val="5D4B4133"/>
    <w:rsid w:val="5D4D2BAA"/>
    <w:rsid w:val="5D551A5E"/>
    <w:rsid w:val="5D612348"/>
    <w:rsid w:val="5D6C215C"/>
    <w:rsid w:val="5D6C5727"/>
    <w:rsid w:val="5D6D4555"/>
    <w:rsid w:val="5D724C39"/>
    <w:rsid w:val="5D767BE4"/>
    <w:rsid w:val="5D8034F2"/>
    <w:rsid w:val="5D83483F"/>
    <w:rsid w:val="5D887BD0"/>
    <w:rsid w:val="5DA87DE0"/>
    <w:rsid w:val="5DAC67D4"/>
    <w:rsid w:val="5DB06038"/>
    <w:rsid w:val="5DB30963"/>
    <w:rsid w:val="5DB67578"/>
    <w:rsid w:val="5DB81A14"/>
    <w:rsid w:val="5DB94029"/>
    <w:rsid w:val="5DD05750"/>
    <w:rsid w:val="5DD65B02"/>
    <w:rsid w:val="5DDE3802"/>
    <w:rsid w:val="5DE27796"/>
    <w:rsid w:val="5DEA07F3"/>
    <w:rsid w:val="5DED4D3D"/>
    <w:rsid w:val="5DFB43B4"/>
    <w:rsid w:val="5E033D83"/>
    <w:rsid w:val="5E0A65FE"/>
    <w:rsid w:val="5E0F60B1"/>
    <w:rsid w:val="5E2054E7"/>
    <w:rsid w:val="5E471B1D"/>
    <w:rsid w:val="5E563D66"/>
    <w:rsid w:val="5E5C7896"/>
    <w:rsid w:val="5E6B391A"/>
    <w:rsid w:val="5E6C3A1F"/>
    <w:rsid w:val="5E785A05"/>
    <w:rsid w:val="5E820F9F"/>
    <w:rsid w:val="5E9B0CB8"/>
    <w:rsid w:val="5E9F7435"/>
    <w:rsid w:val="5EA166D7"/>
    <w:rsid w:val="5EA9213A"/>
    <w:rsid w:val="5EAA1089"/>
    <w:rsid w:val="5EB20940"/>
    <w:rsid w:val="5EB45FFC"/>
    <w:rsid w:val="5EB629D1"/>
    <w:rsid w:val="5EBF15D8"/>
    <w:rsid w:val="5ED06A90"/>
    <w:rsid w:val="5ED55CD2"/>
    <w:rsid w:val="5EDF4959"/>
    <w:rsid w:val="5EE412EC"/>
    <w:rsid w:val="5EEB57FC"/>
    <w:rsid w:val="5F062347"/>
    <w:rsid w:val="5F136020"/>
    <w:rsid w:val="5F1504DD"/>
    <w:rsid w:val="5F1C600F"/>
    <w:rsid w:val="5F262E3A"/>
    <w:rsid w:val="5F28330A"/>
    <w:rsid w:val="5F2847C6"/>
    <w:rsid w:val="5F332BBC"/>
    <w:rsid w:val="5F4B76AA"/>
    <w:rsid w:val="5F4D2315"/>
    <w:rsid w:val="5F4E49B7"/>
    <w:rsid w:val="5F5473DD"/>
    <w:rsid w:val="5F571ABE"/>
    <w:rsid w:val="5F6D12E1"/>
    <w:rsid w:val="5F903222"/>
    <w:rsid w:val="5F932058"/>
    <w:rsid w:val="5F9E34F4"/>
    <w:rsid w:val="5F9F440E"/>
    <w:rsid w:val="5FA53328"/>
    <w:rsid w:val="5FA55D84"/>
    <w:rsid w:val="5FB47D68"/>
    <w:rsid w:val="5FB91B00"/>
    <w:rsid w:val="5FC451F5"/>
    <w:rsid w:val="5FC94DAA"/>
    <w:rsid w:val="5FCB09FD"/>
    <w:rsid w:val="5FCC5A91"/>
    <w:rsid w:val="5FCC7707"/>
    <w:rsid w:val="5FCD6D27"/>
    <w:rsid w:val="5FD25D05"/>
    <w:rsid w:val="5FE175D9"/>
    <w:rsid w:val="5FE7666D"/>
    <w:rsid w:val="600829F7"/>
    <w:rsid w:val="600A22DC"/>
    <w:rsid w:val="600A6B30"/>
    <w:rsid w:val="60185E70"/>
    <w:rsid w:val="60213E7A"/>
    <w:rsid w:val="60243898"/>
    <w:rsid w:val="60295153"/>
    <w:rsid w:val="60312F1A"/>
    <w:rsid w:val="603367A9"/>
    <w:rsid w:val="60455EEC"/>
    <w:rsid w:val="604921DC"/>
    <w:rsid w:val="604C6FD6"/>
    <w:rsid w:val="60510A88"/>
    <w:rsid w:val="60531A37"/>
    <w:rsid w:val="606B613C"/>
    <w:rsid w:val="606C01C8"/>
    <w:rsid w:val="606E3563"/>
    <w:rsid w:val="60736D90"/>
    <w:rsid w:val="608B7FAD"/>
    <w:rsid w:val="609347EF"/>
    <w:rsid w:val="60935DD2"/>
    <w:rsid w:val="60A45699"/>
    <w:rsid w:val="60C34F31"/>
    <w:rsid w:val="60C610D4"/>
    <w:rsid w:val="60D64C64"/>
    <w:rsid w:val="60D737F6"/>
    <w:rsid w:val="610276DF"/>
    <w:rsid w:val="610C0718"/>
    <w:rsid w:val="6132024D"/>
    <w:rsid w:val="61325F05"/>
    <w:rsid w:val="61337183"/>
    <w:rsid w:val="613C0214"/>
    <w:rsid w:val="613D4CE3"/>
    <w:rsid w:val="613F0A5C"/>
    <w:rsid w:val="614142D4"/>
    <w:rsid w:val="6148613D"/>
    <w:rsid w:val="614F6EC5"/>
    <w:rsid w:val="6157163E"/>
    <w:rsid w:val="6160797F"/>
    <w:rsid w:val="61642270"/>
    <w:rsid w:val="61646EF1"/>
    <w:rsid w:val="61674EDF"/>
    <w:rsid w:val="616B56A1"/>
    <w:rsid w:val="616D6DC6"/>
    <w:rsid w:val="61737540"/>
    <w:rsid w:val="61766550"/>
    <w:rsid w:val="618172C6"/>
    <w:rsid w:val="61867B8D"/>
    <w:rsid w:val="61A134C4"/>
    <w:rsid w:val="61A30400"/>
    <w:rsid w:val="61A94127"/>
    <w:rsid w:val="61B1407F"/>
    <w:rsid w:val="61B233CF"/>
    <w:rsid w:val="61C422C8"/>
    <w:rsid w:val="61C62F2B"/>
    <w:rsid w:val="61CA4D31"/>
    <w:rsid w:val="61EB33DB"/>
    <w:rsid w:val="61F77A08"/>
    <w:rsid w:val="61FA208E"/>
    <w:rsid w:val="61FE2D34"/>
    <w:rsid w:val="61FF6B84"/>
    <w:rsid w:val="620D53A4"/>
    <w:rsid w:val="621B7F66"/>
    <w:rsid w:val="62247FFF"/>
    <w:rsid w:val="622C7975"/>
    <w:rsid w:val="6231733E"/>
    <w:rsid w:val="62360D97"/>
    <w:rsid w:val="62361808"/>
    <w:rsid w:val="623A1223"/>
    <w:rsid w:val="624145FF"/>
    <w:rsid w:val="62500A46"/>
    <w:rsid w:val="62516CA2"/>
    <w:rsid w:val="6260512D"/>
    <w:rsid w:val="62663B30"/>
    <w:rsid w:val="62765A80"/>
    <w:rsid w:val="627B1F67"/>
    <w:rsid w:val="628403FA"/>
    <w:rsid w:val="629157E0"/>
    <w:rsid w:val="62943029"/>
    <w:rsid w:val="62A529BA"/>
    <w:rsid w:val="62A72380"/>
    <w:rsid w:val="62A768B8"/>
    <w:rsid w:val="62AB7805"/>
    <w:rsid w:val="62AE09EC"/>
    <w:rsid w:val="62B26CBA"/>
    <w:rsid w:val="62BA5BD4"/>
    <w:rsid w:val="62BD432E"/>
    <w:rsid w:val="62BD7797"/>
    <w:rsid w:val="62E1178B"/>
    <w:rsid w:val="62E70FB2"/>
    <w:rsid w:val="62EA05C6"/>
    <w:rsid w:val="630C3E31"/>
    <w:rsid w:val="63297C75"/>
    <w:rsid w:val="63374D32"/>
    <w:rsid w:val="63436584"/>
    <w:rsid w:val="634B4177"/>
    <w:rsid w:val="636C79D9"/>
    <w:rsid w:val="63757097"/>
    <w:rsid w:val="637A12C2"/>
    <w:rsid w:val="637D5A34"/>
    <w:rsid w:val="638004A1"/>
    <w:rsid w:val="6384617C"/>
    <w:rsid w:val="638E1890"/>
    <w:rsid w:val="63901A42"/>
    <w:rsid w:val="639907FC"/>
    <w:rsid w:val="6399782D"/>
    <w:rsid w:val="63A64CE9"/>
    <w:rsid w:val="63AE6299"/>
    <w:rsid w:val="63B20D63"/>
    <w:rsid w:val="63B82858"/>
    <w:rsid w:val="63D30BA8"/>
    <w:rsid w:val="63D537D1"/>
    <w:rsid w:val="63DE27B5"/>
    <w:rsid w:val="63F145CD"/>
    <w:rsid w:val="63F4426A"/>
    <w:rsid w:val="63F96CC4"/>
    <w:rsid w:val="63FB3A00"/>
    <w:rsid w:val="63FC2C2E"/>
    <w:rsid w:val="63FF4601"/>
    <w:rsid w:val="64033FC2"/>
    <w:rsid w:val="640E3D34"/>
    <w:rsid w:val="64240C7C"/>
    <w:rsid w:val="642E6BDA"/>
    <w:rsid w:val="643A1BD3"/>
    <w:rsid w:val="64544C28"/>
    <w:rsid w:val="645A3C88"/>
    <w:rsid w:val="64646CC1"/>
    <w:rsid w:val="647F5F17"/>
    <w:rsid w:val="648C133C"/>
    <w:rsid w:val="648E722C"/>
    <w:rsid w:val="64AF414A"/>
    <w:rsid w:val="64B11C70"/>
    <w:rsid w:val="64BD4D51"/>
    <w:rsid w:val="64C713A8"/>
    <w:rsid w:val="64CF321D"/>
    <w:rsid w:val="64D31957"/>
    <w:rsid w:val="64E10103"/>
    <w:rsid w:val="64E62552"/>
    <w:rsid w:val="64EA2432"/>
    <w:rsid w:val="64EC0EFA"/>
    <w:rsid w:val="64FB58C0"/>
    <w:rsid w:val="65063DE0"/>
    <w:rsid w:val="651419DE"/>
    <w:rsid w:val="65150451"/>
    <w:rsid w:val="65163F97"/>
    <w:rsid w:val="652310DA"/>
    <w:rsid w:val="653F26E2"/>
    <w:rsid w:val="655D51F6"/>
    <w:rsid w:val="65620A75"/>
    <w:rsid w:val="657455F8"/>
    <w:rsid w:val="65770481"/>
    <w:rsid w:val="65810249"/>
    <w:rsid w:val="658E1FB1"/>
    <w:rsid w:val="658E6851"/>
    <w:rsid w:val="65903B97"/>
    <w:rsid w:val="65996243"/>
    <w:rsid w:val="65A34B0A"/>
    <w:rsid w:val="65A65B4E"/>
    <w:rsid w:val="65AF6B1B"/>
    <w:rsid w:val="65B96856"/>
    <w:rsid w:val="65C35CCD"/>
    <w:rsid w:val="65D158A9"/>
    <w:rsid w:val="65DA58EC"/>
    <w:rsid w:val="65E32B18"/>
    <w:rsid w:val="65E54EED"/>
    <w:rsid w:val="65EA6B87"/>
    <w:rsid w:val="65EB6DE2"/>
    <w:rsid w:val="65FF07B9"/>
    <w:rsid w:val="66205090"/>
    <w:rsid w:val="66274E11"/>
    <w:rsid w:val="66287D10"/>
    <w:rsid w:val="662B0C58"/>
    <w:rsid w:val="662E6881"/>
    <w:rsid w:val="66430FEE"/>
    <w:rsid w:val="664C2331"/>
    <w:rsid w:val="664D43AF"/>
    <w:rsid w:val="665136DB"/>
    <w:rsid w:val="66577444"/>
    <w:rsid w:val="66615D61"/>
    <w:rsid w:val="66660838"/>
    <w:rsid w:val="66697085"/>
    <w:rsid w:val="666D606B"/>
    <w:rsid w:val="66722E2B"/>
    <w:rsid w:val="66726CDA"/>
    <w:rsid w:val="66756CCD"/>
    <w:rsid w:val="6687311B"/>
    <w:rsid w:val="668B2592"/>
    <w:rsid w:val="668C77C3"/>
    <w:rsid w:val="668F3D3C"/>
    <w:rsid w:val="66911816"/>
    <w:rsid w:val="6693139C"/>
    <w:rsid w:val="66941658"/>
    <w:rsid w:val="66982764"/>
    <w:rsid w:val="669878EF"/>
    <w:rsid w:val="66A6174A"/>
    <w:rsid w:val="66B83751"/>
    <w:rsid w:val="66C80785"/>
    <w:rsid w:val="66CE0EA1"/>
    <w:rsid w:val="66DB1037"/>
    <w:rsid w:val="66DE6DBE"/>
    <w:rsid w:val="66DE7C4F"/>
    <w:rsid w:val="66E24698"/>
    <w:rsid w:val="66E96DCF"/>
    <w:rsid w:val="66F75934"/>
    <w:rsid w:val="66F955F6"/>
    <w:rsid w:val="67046AA2"/>
    <w:rsid w:val="67184C5F"/>
    <w:rsid w:val="6733534A"/>
    <w:rsid w:val="673A5E4F"/>
    <w:rsid w:val="67401FFA"/>
    <w:rsid w:val="67551C2D"/>
    <w:rsid w:val="675C26E3"/>
    <w:rsid w:val="67625EF6"/>
    <w:rsid w:val="67626648"/>
    <w:rsid w:val="676E7876"/>
    <w:rsid w:val="678418BE"/>
    <w:rsid w:val="67955879"/>
    <w:rsid w:val="67C2371D"/>
    <w:rsid w:val="67CD3A11"/>
    <w:rsid w:val="67D60549"/>
    <w:rsid w:val="67DE12B5"/>
    <w:rsid w:val="67E73BFB"/>
    <w:rsid w:val="67E934CF"/>
    <w:rsid w:val="67EB0A18"/>
    <w:rsid w:val="67F500C6"/>
    <w:rsid w:val="67F72D42"/>
    <w:rsid w:val="67FA399D"/>
    <w:rsid w:val="68032877"/>
    <w:rsid w:val="680371EF"/>
    <w:rsid w:val="680D0B0E"/>
    <w:rsid w:val="68152516"/>
    <w:rsid w:val="6816272E"/>
    <w:rsid w:val="6821710D"/>
    <w:rsid w:val="682438CE"/>
    <w:rsid w:val="68254422"/>
    <w:rsid w:val="682D5AB2"/>
    <w:rsid w:val="683A1692"/>
    <w:rsid w:val="683E1A6D"/>
    <w:rsid w:val="684336CF"/>
    <w:rsid w:val="68442DFB"/>
    <w:rsid w:val="684B5F38"/>
    <w:rsid w:val="6851585B"/>
    <w:rsid w:val="68555008"/>
    <w:rsid w:val="686055E7"/>
    <w:rsid w:val="68637551"/>
    <w:rsid w:val="68680898"/>
    <w:rsid w:val="68696264"/>
    <w:rsid w:val="6885769C"/>
    <w:rsid w:val="688B2BE5"/>
    <w:rsid w:val="688C0BE1"/>
    <w:rsid w:val="689E250C"/>
    <w:rsid w:val="68A13DAA"/>
    <w:rsid w:val="68A353CB"/>
    <w:rsid w:val="68A76D09"/>
    <w:rsid w:val="68AF50BA"/>
    <w:rsid w:val="68B24D22"/>
    <w:rsid w:val="68B27D65"/>
    <w:rsid w:val="68C73F88"/>
    <w:rsid w:val="68CA1553"/>
    <w:rsid w:val="68E819D9"/>
    <w:rsid w:val="68F23528"/>
    <w:rsid w:val="68F465CF"/>
    <w:rsid w:val="68FC7C00"/>
    <w:rsid w:val="69022354"/>
    <w:rsid w:val="69037E08"/>
    <w:rsid w:val="69091AAE"/>
    <w:rsid w:val="690F0ADD"/>
    <w:rsid w:val="69290672"/>
    <w:rsid w:val="692B577A"/>
    <w:rsid w:val="69392E7D"/>
    <w:rsid w:val="693B41FE"/>
    <w:rsid w:val="69414BEB"/>
    <w:rsid w:val="694D0615"/>
    <w:rsid w:val="695837D4"/>
    <w:rsid w:val="695C0BE5"/>
    <w:rsid w:val="696364AF"/>
    <w:rsid w:val="69646AA2"/>
    <w:rsid w:val="69735746"/>
    <w:rsid w:val="69755C35"/>
    <w:rsid w:val="69826AED"/>
    <w:rsid w:val="698338AD"/>
    <w:rsid w:val="698B66DE"/>
    <w:rsid w:val="699075ED"/>
    <w:rsid w:val="69A4523C"/>
    <w:rsid w:val="69AF6FFC"/>
    <w:rsid w:val="69B01F8E"/>
    <w:rsid w:val="69C72D1C"/>
    <w:rsid w:val="69CC169D"/>
    <w:rsid w:val="69D41F5D"/>
    <w:rsid w:val="69DA5C09"/>
    <w:rsid w:val="69EF29E3"/>
    <w:rsid w:val="69F0173A"/>
    <w:rsid w:val="6A026ACA"/>
    <w:rsid w:val="6A116D0D"/>
    <w:rsid w:val="6A2904FB"/>
    <w:rsid w:val="6A334F99"/>
    <w:rsid w:val="6A3368E3"/>
    <w:rsid w:val="6A4C7601"/>
    <w:rsid w:val="6A624FA4"/>
    <w:rsid w:val="6A696B49"/>
    <w:rsid w:val="6A6B1B64"/>
    <w:rsid w:val="6A6B28AD"/>
    <w:rsid w:val="6A6F35AC"/>
    <w:rsid w:val="6A731776"/>
    <w:rsid w:val="6A7F011B"/>
    <w:rsid w:val="6A985D4C"/>
    <w:rsid w:val="6A9C3CBF"/>
    <w:rsid w:val="6AA06A0F"/>
    <w:rsid w:val="6AA9377A"/>
    <w:rsid w:val="6AAB2329"/>
    <w:rsid w:val="6AB26742"/>
    <w:rsid w:val="6AC47739"/>
    <w:rsid w:val="6ACD3714"/>
    <w:rsid w:val="6ACD5233"/>
    <w:rsid w:val="6ADC2A1C"/>
    <w:rsid w:val="6AE0505D"/>
    <w:rsid w:val="6AE12912"/>
    <w:rsid w:val="6AF552E7"/>
    <w:rsid w:val="6AF757D9"/>
    <w:rsid w:val="6AFA04F5"/>
    <w:rsid w:val="6AFF4FDC"/>
    <w:rsid w:val="6B0A7AD2"/>
    <w:rsid w:val="6B2228EC"/>
    <w:rsid w:val="6B225676"/>
    <w:rsid w:val="6B310760"/>
    <w:rsid w:val="6B363AD7"/>
    <w:rsid w:val="6B3B697A"/>
    <w:rsid w:val="6B4062D2"/>
    <w:rsid w:val="6B4A0149"/>
    <w:rsid w:val="6B59087A"/>
    <w:rsid w:val="6B6A0F85"/>
    <w:rsid w:val="6B715CB5"/>
    <w:rsid w:val="6B716BD5"/>
    <w:rsid w:val="6B7B5D96"/>
    <w:rsid w:val="6B81193B"/>
    <w:rsid w:val="6BAE6F0A"/>
    <w:rsid w:val="6BB36BBF"/>
    <w:rsid w:val="6BBD0EFB"/>
    <w:rsid w:val="6BBD714D"/>
    <w:rsid w:val="6BC3011F"/>
    <w:rsid w:val="6BCB5A4A"/>
    <w:rsid w:val="6BCE3108"/>
    <w:rsid w:val="6BD100CC"/>
    <w:rsid w:val="6BD510F7"/>
    <w:rsid w:val="6BDD334B"/>
    <w:rsid w:val="6C08224E"/>
    <w:rsid w:val="6C0C0B4B"/>
    <w:rsid w:val="6C0E4DFC"/>
    <w:rsid w:val="6C176D1A"/>
    <w:rsid w:val="6C4B29AA"/>
    <w:rsid w:val="6C4D1B0D"/>
    <w:rsid w:val="6C501D6F"/>
    <w:rsid w:val="6C5E20FA"/>
    <w:rsid w:val="6C6A5207"/>
    <w:rsid w:val="6C7A233B"/>
    <w:rsid w:val="6C8163CC"/>
    <w:rsid w:val="6C84299F"/>
    <w:rsid w:val="6C8E31F1"/>
    <w:rsid w:val="6C9D4E5D"/>
    <w:rsid w:val="6C9D54C3"/>
    <w:rsid w:val="6CA13C18"/>
    <w:rsid w:val="6CA208E0"/>
    <w:rsid w:val="6CA776AF"/>
    <w:rsid w:val="6CA83770"/>
    <w:rsid w:val="6CAB169B"/>
    <w:rsid w:val="6CB330D1"/>
    <w:rsid w:val="6CCD3938"/>
    <w:rsid w:val="6CD13E83"/>
    <w:rsid w:val="6CD73A2D"/>
    <w:rsid w:val="6CD824EC"/>
    <w:rsid w:val="6CDA15F7"/>
    <w:rsid w:val="6CDD20CE"/>
    <w:rsid w:val="6D0B6C0D"/>
    <w:rsid w:val="6D0C4A7E"/>
    <w:rsid w:val="6D1F354E"/>
    <w:rsid w:val="6D30501D"/>
    <w:rsid w:val="6D3574DB"/>
    <w:rsid w:val="6D3C5D4C"/>
    <w:rsid w:val="6D4D4500"/>
    <w:rsid w:val="6D5B6C1D"/>
    <w:rsid w:val="6D5E43C3"/>
    <w:rsid w:val="6D796838"/>
    <w:rsid w:val="6D7A7103"/>
    <w:rsid w:val="6D96269B"/>
    <w:rsid w:val="6D9E56B2"/>
    <w:rsid w:val="6D9E7C41"/>
    <w:rsid w:val="6DA71E62"/>
    <w:rsid w:val="6DB4457F"/>
    <w:rsid w:val="6DBB047B"/>
    <w:rsid w:val="6DBC5144"/>
    <w:rsid w:val="6DBC677A"/>
    <w:rsid w:val="6DCD0274"/>
    <w:rsid w:val="6DD5132B"/>
    <w:rsid w:val="6DEA61F3"/>
    <w:rsid w:val="6E003A61"/>
    <w:rsid w:val="6E162B44"/>
    <w:rsid w:val="6E1B7E27"/>
    <w:rsid w:val="6E1D245F"/>
    <w:rsid w:val="6E1F7ABF"/>
    <w:rsid w:val="6E2524B4"/>
    <w:rsid w:val="6E274D51"/>
    <w:rsid w:val="6E2E7E8E"/>
    <w:rsid w:val="6E3272C7"/>
    <w:rsid w:val="6E3556C0"/>
    <w:rsid w:val="6E3B3A3A"/>
    <w:rsid w:val="6E490579"/>
    <w:rsid w:val="6E49116B"/>
    <w:rsid w:val="6E4A00DB"/>
    <w:rsid w:val="6E501D4D"/>
    <w:rsid w:val="6E5A02D0"/>
    <w:rsid w:val="6E673CC2"/>
    <w:rsid w:val="6E674687"/>
    <w:rsid w:val="6E6B30B6"/>
    <w:rsid w:val="6E763C49"/>
    <w:rsid w:val="6E846C45"/>
    <w:rsid w:val="6E861244"/>
    <w:rsid w:val="6E98720D"/>
    <w:rsid w:val="6E9D204E"/>
    <w:rsid w:val="6EAB59B1"/>
    <w:rsid w:val="6EAC0CC2"/>
    <w:rsid w:val="6EB72579"/>
    <w:rsid w:val="6EBE18DA"/>
    <w:rsid w:val="6ED07197"/>
    <w:rsid w:val="6ED616E4"/>
    <w:rsid w:val="6ED70B48"/>
    <w:rsid w:val="6EDE0C5E"/>
    <w:rsid w:val="6EE175F6"/>
    <w:rsid w:val="6EE231B1"/>
    <w:rsid w:val="6EEA6B63"/>
    <w:rsid w:val="6EF161CE"/>
    <w:rsid w:val="6EF72E99"/>
    <w:rsid w:val="6EF74724"/>
    <w:rsid w:val="6EF97100"/>
    <w:rsid w:val="6F0D30F8"/>
    <w:rsid w:val="6F135EB7"/>
    <w:rsid w:val="6F215C44"/>
    <w:rsid w:val="6F23376B"/>
    <w:rsid w:val="6F2C3B96"/>
    <w:rsid w:val="6F343BCA"/>
    <w:rsid w:val="6F3447FE"/>
    <w:rsid w:val="6F490CF7"/>
    <w:rsid w:val="6F58281E"/>
    <w:rsid w:val="6F685621"/>
    <w:rsid w:val="6F6873CF"/>
    <w:rsid w:val="6F865295"/>
    <w:rsid w:val="6F8A2CF2"/>
    <w:rsid w:val="6F8C3791"/>
    <w:rsid w:val="6F9C2071"/>
    <w:rsid w:val="6FA9091F"/>
    <w:rsid w:val="6FB95503"/>
    <w:rsid w:val="6FBF276D"/>
    <w:rsid w:val="6FCA7697"/>
    <w:rsid w:val="6FD72DDD"/>
    <w:rsid w:val="6FDA3154"/>
    <w:rsid w:val="6FEF7FC3"/>
    <w:rsid w:val="70063552"/>
    <w:rsid w:val="700821DB"/>
    <w:rsid w:val="70125F64"/>
    <w:rsid w:val="701D0C3D"/>
    <w:rsid w:val="702C60FE"/>
    <w:rsid w:val="70431F61"/>
    <w:rsid w:val="70546AF1"/>
    <w:rsid w:val="705555F5"/>
    <w:rsid w:val="70574852"/>
    <w:rsid w:val="706E4EB9"/>
    <w:rsid w:val="70714DBE"/>
    <w:rsid w:val="707571CB"/>
    <w:rsid w:val="70891FA2"/>
    <w:rsid w:val="70897B5E"/>
    <w:rsid w:val="708F4491"/>
    <w:rsid w:val="70A42689"/>
    <w:rsid w:val="70BC1174"/>
    <w:rsid w:val="70C1323B"/>
    <w:rsid w:val="70C57B4F"/>
    <w:rsid w:val="70E41DF6"/>
    <w:rsid w:val="70E60EF4"/>
    <w:rsid w:val="70F27898"/>
    <w:rsid w:val="70F45195"/>
    <w:rsid w:val="710C101E"/>
    <w:rsid w:val="711333A3"/>
    <w:rsid w:val="71155335"/>
    <w:rsid w:val="711836E8"/>
    <w:rsid w:val="7119279F"/>
    <w:rsid w:val="711A0B9D"/>
    <w:rsid w:val="71246E5A"/>
    <w:rsid w:val="7134775F"/>
    <w:rsid w:val="714E0EE0"/>
    <w:rsid w:val="71597917"/>
    <w:rsid w:val="71700498"/>
    <w:rsid w:val="717B36D1"/>
    <w:rsid w:val="717E764E"/>
    <w:rsid w:val="71861D9F"/>
    <w:rsid w:val="718D2131"/>
    <w:rsid w:val="718D75C1"/>
    <w:rsid w:val="718F158B"/>
    <w:rsid w:val="718F50E7"/>
    <w:rsid w:val="7192568C"/>
    <w:rsid w:val="71976A39"/>
    <w:rsid w:val="71B065E2"/>
    <w:rsid w:val="71B40DE5"/>
    <w:rsid w:val="71BB43CF"/>
    <w:rsid w:val="71C17FD9"/>
    <w:rsid w:val="71CE07CE"/>
    <w:rsid w:val="71D536B7"/>
    <w:rsid w:val="71DB46F1"/>
    <w:rsid w:val="71DC4DC5"/>
    <w:rsid w:val="71F426C7"/>
    <w:rsid w:val="71F833E4"/>
    <w:rsid w:val="71FE634A"/>
    <w:rsid w:val="72005F93"/>
    <w:rsid w:val="720535FB"/>
    <w:rsid w:val="720C0228"/>
    <w:rsid w:val="720C6738"/>
    <w:rsid w:val="721E3234"/>
    <w:rsid w:val="7225778D"/>
    <w:rsid w:val="72442AFF"/>
    <w:rsid w:val="724A0270"/>
    <w:rsid w:val="724B33C5"/>
    <w:rsid w:val="72691951"/>
    <w:rsid w:val="726B0BBA"/>
    <w:rsid w:val="72895FDA"/>
    <w:rsid w:val="72897D89"/>
    <w:rsid w:val="728E35F1"/>
    <w:rsid w:val="72A94480"/>
    <w:rsid w:val="72A945B8"/>
    <w:rsid w:val="72C25694"/>
    <w:rsid w:val="72CC7863"/>
    <w:rsid w:val="72CD1574"/>
    <w:rsid w:val="72D41C44"/>
    <w:rsid w:val="72DC4DAA"/>
    <w:rsid w:val="72DD3269"/>
    <w:rsid w:val="72E12AED"/>
    <w:rsid w:val="72F378F8"/>
    <w:rsid w:val="72F544E7"/>
    <w:rsid w:val="72FF629D"/>
    <w:rsid w:val="73095751"/>
    <w:rsid w:val="73124E12"/>
    <w:rsid w:val="731E3F83"/>
    <w:rsid w:val="73217FC1"/>
    <w:rsid w:val="73260A79"/>
    <w:rsid w:val="732775A1"/>
    <w:rsid w:val="732F6536"/>
    <w:rsid w:val="7333479D"/>
    <w:rsid w:val="7335601B"/>
    <w:rsid w:val="733F48EB"/>
    <w:rsid w:val="73581BE2"/>
    <w:rsid w:val="735D5862"/>
    <w:rsid w:val="736B0716"/>
    <w:rsid w:val="73733975"/>
    <w:rsid w:val="7386456E"/>
    <w:rsid w:val="738A6228"/>
    <w:rsid w:val="738D539F"/>
    <w:rsid w:val="738E59B0"/>
    <w:rsid w:val="73984EF8"/>
    <w:rsid w:val="73A330CC"/>
    <w:rsid w:val="73AB270D"/>
    <w:rsid w:val="73C465F8"/>
    <w:rsid w:val="73C72742"/>
    <w:rsid w:val="73C73A0E"/>
    <w:rsid w:val="73C82D84"/>
    <w:rsid w:val="73CD61E4"/>
    <w:rsid w:val="73D55664"/>
    <w:rsid w:val="73D6524F"/>
    <w:rsid w:val="73DC42AB"/>
    <w:rsid w:val="73EB6404"/>
    <w:rsid w:val="73F04EF0"/>
    <w:rsid w:val="73F4581E"/>
    <w:rsid w:val="74092E99"/>
    <w:rsid w:val="740F250F"/>
    <w:rsid w:val="741163FB"/>
    <w:rsid w:val="74363FB6"/>
    <w:rsid w:val="74406B6D"/>
    <w:rsid w:val="744A75CA"/>
    <w:rsid w:val="745B5755"/>
    <w:rsid w:val="745D7266"/>
    <w:rsid w:val="74616AC8"/>
    <w:rsid w:val="7468663D"/>
    <w:rsid w:val="746C61B7"/>
    <w:rsid w:val="74701D0E"/>
    <w:rsid w:val="74726B6E"/>
    <w:rsid w:val="74755BF0"/>
    <w:rsid w:val="74833338"/>
    <w:rsid w:val="748D1985"/>
    <w:rsid w:val="748F77E4"/>
    <w:rsid w:val="74AF2AFE"/>
    <w:rsid w:val="74B15375"/>
    <w:rsid w:val="74C50EB8"/>
    <w:rsid w:val="74CC4A65"/>
    <w:rsid w:val="74D60660"/>
    <w:rsid w:val="74DC7A28"/>
    <w:rsid w:val="74F636CF"/>
    <w:rsid w:val="75265D7C"/>
    <w:rsid w:val="75283C04"/>
    <w:rsid w:val="7535244A"/>
    <w:rsid w:val="75492334"/>
    <w:rsid w:val="7568637B"/>
    <w:rsid w:val="756C3A7E"/>
    <w:rsid w:val="75782122"/>
    <w:rsid w:val="757E794D"/>
    <w:rsid w:val="75814EB7"/>
    <w:rsid w:val="75817773"/>
    <w:rsid w:val="759573ED"/>
    <w:rsid w:val="7596633A"/>
    <w:rsid w:val="759A405B"/>
    <w:rsid w:val="759B148F"/>
    <w:rsid w:val="759C301F"/>
    <w:rsid w:val="759D1CBC"/>
    <w:rsid w:val="75A849CA"/>
    <w:rsid w:val="75AB389C"/>
    <w:rsid w:val="75B65EDC"/>
    <w:rsid w:val="75BE41ED"/>
    <w:rsid w:val="75BF7F65"/>
    <w:rsid w:val="75C51751"/>
    <w:rsid w:val="75C537CD"/>
    <w:rsid w:val="75CB58FE"/>
    <w:rsid w:val="75D26BE0"/>
    <w:rsid w:val="75D54ADF"/>
    <w:rsid w:val="75DA7FAA"/>
    <w:rsid w:val="75DB406F"/>
    <w:rsid w:val="75F21F1E"/>
    <w:rsid w:val="7601232C"/>
    <w:rsid w:val="760A05CF"/>
    <w:rsid w:val="760A7F3B"/>
    <w:rsid w:val="760C1F6D"/>
    <w:rsid w:val="762E7FCC"/>
    <w:rsid w:val="764424CF"/>
    <w:rsid w:val="765A4515"/>
    <w:rsid w:val="765D692A"/>
    <w:rsid w:val="765D7C73"/>
    <w:rsid w:val="76606537"/>
    <w:rsid w:val="76654669"/>
    <w:rsid w:val="76685F07"/>
    <w:rsid w:val="76805946"/>
    <w:rsid w:val="768A1E52"/>
    <w:rsid w:val="76A038F3"/>
    <w:rsid w:val="76A74C81"/>
    <w:rsid w:val="76AA651F"/>
    <w:rsid w:val="76AE24B4"/>
    <w:rsid w:val="76B046B2"/>
    <w:rsid w:val="76BF5F2B"/>
    <w:rsid w:val="76DD0B04"/>
    <w:rsid w:val="76E15CE4"/>
    <w:rsid w:val="76E41A31"/>
    <w:rsid w:val="76EC01D5"/>
    <w:rsid w:val="76ED3071"/>
    <w:rsid w:val="76ED349D"/>
    <w:rsid w:val="76F964E6"/>
    <w:rsid w:val="77060EB2"/>
    <w:rsid w:val="770F1502"/>
    <w:rsid w:val="77154C42"/>
    <w:rsid w:val="77242776"/>
    <w:rsid w:val="772C33D8"/>
    <w:rsid w:val="77317FDB"/>
    <w:rsid w:val="773504DF"/>
    <w:rsid w:val="774565F3"/>
    <w:rsid w:val="7750356B"/>
    <w:rsid w:val="77583AED"/>
    <w:rsid w:val="775C4107"/>
    <w:rsid w:val="77641503"/>
    <w:rsid w:val="77701CC3"/>
    <w:rsid w:val="77784858"/>
    <w:rsid w:val="778154D2"/>
    <w:rsid w:val="77850C07"/>
    <w:rsid w:val="77A71A4D"/>
    <w:rsid w:val="77BE5B81"/>
    <w:rsid w:val="77C52500"/>
    <w:rsid w:val="77C5560F"/>
    <w:rsid w:val="77D048EE"/>
    <w:rsid w:val="77D2346B"/>
    <w:rsid w:val="77D43A84"/>
    <w:rsid w:val="77DB72D8"/>
    <w:rsid w:val="77DD08AD"/>
    <w:rsid w:val="77E101E1"/>
    <w:rsid w:val="77E12415"/>
    <w:rsid w:val="77E141C3"/>
    <w:rsid w:val="77E948B0"/>
    <w:rsid w:val="77EB3293"/>
    <w:rsid w:val="77FA34D6"/>
    <w:rsid w:val="77FE005D"/>
    <w:rsid w:val="7803573D"/>
    <w:rsid w:val="78035C67"/>
    <w:rsid w:val="78047EB1"/>
    <w:rsid w:val="7819714C"/>
    <w:rsid w:val="78237F3B"/>
    <w:rsid w:val="78360036"/>
    <w:rsid w:val="78367F8E"/>
    <w:rsid w:val="785345B5"/>
    <w:rsid w:val="78536F8A"/>
    <w:rsid w:val="785646E1"/>
    <w:rsid w:val="785A7D46"/>
    <w:rsid w:val="786207D7"/>
    <w:rsid w:val="78623556"/>
    <w:rsid w:val="786F7A21"/>
    <w:rsid w:val="787563A8"/>
    <w:rsid w:val="787E5459"/>
    <w:rsid w:val="788C2A7C"/>
    <w:rsid w:val="789715AF"/>
    <w:rsid w:val="78A46710"/>
    <w:rsid w:val="78A70AED"/>
    <w:rsid w:val="78AE1C46"/>
    <w:rsid w:val="78B95140"/>
    <w:rsid w:val="78BB5058"/>
    <w:rsid w:val="78BD078C"/>
    <w:rsid w:val="78BD16AD"/>
    <w:rsid w:val="78BD2733"/>
    <w:rsid w:val="78CA188F"/>
    <w:rsid w:val="78D530FF"/>
    <w:rsid w:val="78EE7C54"/>
    <w:rsid w:val="78F10436"/>
    <w:rsid w:val="78F37780"/>
    <w:rsid w:val="78F45A6B"/>
    <w:rsid w:val="78F46798"/>
    <w:rsid w:val="78F65A4C"/>
    <w:rsid w:val="78FD4950"/>
    <w:rsid w:val="79110990"/>
    <w:rsid w:val="79182CBA"/>
    <w:rsid w:val="791D130A"/>
    <w:rsid w:val="7923333A"/>
    <w:rsid w:val="792E5160"/>
    <w:rsid w:val="794058BE"/>
    <w:rsid w:val="79450781"/>
    <w:rsid w:val="79482DC9"/>
    <w:rsid w:val="794E5C07"/>
    <w:rsid w:val="79526A19"/>
    <w:rsid w:val="7954405E"/>
    <w:rsid w:val="795733D5"/>
    <w:rsid w:val="795B0201"/>
    <w:rsid w:val="795E308D"/>
    <w:rsid w:val="796055BB"/>
    <w:rsid w:val="79605E92"/>
    <w:rsid w:val="798B088A"/>
    <w:rsid w:val="799139C7"/>
    <w:rsid w:val="799C1992"/>
    <w:rsid w:val="799E680F"/>
    <w:rsid w:val="79A3797E"/>
    <w:rsid w:val="79BC2574"/>
    <w:rsid w:val="79C1795C"/>
    <w:rsid w:val="79C43694"/>
    <w:rsid w:val="79C77BDD"/>
    <w:rsid w:val="79D14874"/>
    <w:rsid w:val="79D95A95"/>
    <w:rsid w:val="79DB47C4"/>
    <w:rsid w:val="79E833BF"/>
    <w:rsid w:val="79F0693F"/>
    <w:rsid w:val="79FF6FEC"/>
    <w:rsid w:val="7A005643"/>
    <w:rsid w:val="7A01351B"/>
    <w:rsid w:val="7A045A01"/>
    <w:rsid w:val="7A0B5527"/>
    <w:rsid w:val="7A135BED"/>
    <w:rsid w:val="7A1C7734"/>
    <w:rsid w:val="7A2207E0"/>
    <w:rsid w:val="7A3274BA"/>
    <w:rsid w:val="7A3B6881"/>
    <w:rsid w:val="7A4233A2"/>
    <w:rsid w:val="7A454409"/>
    <w:rsid w:val="7A490096"/>
    <w:rsid w:val="7A5275FA"/>
    <w:rsid w:val="7A57076C"/>
    <w:rsid w:val="7A59013A"/>
    <w:rsid w:val="7A6413DB"/>
    <w:rsid w:val="7A6531D0"/>
    <w:rsid w:val="7A8730A8"/>
    <w:rsid w:val="7A8A69A8"/>
    <w:rsid w:val="7A936028"/>
    <w:rsid w:val="7A941892"/>
    <w:rsid w:val="7AA20F85"/>
    <w:rsid w:val="7AD320A2"/>
    <w:rsid w:val="7ADB65D1"/>
    <w:rsid w:val="7ADC0262"/>
    <w:rsid w:val="7ADF70E5"/>
    <w:rsid w:val="7AF56035"/>
    <w:rsid w:val="7AFC52F0"/>
    <w:rsid w:val="7B077CAB"/>
    <w:rsid w:val="7B0C0D31"/>
    <w:rsid w:val="7B0C49CD"/>
    <w:rsid w:val="7B136D89"/>
    <w:rsid w:val="7B242D44"/>
    <w:rsid w:val="7B3C5196"/>
    <w:rsid w:val="7B3D570B"/>
    <w:rsid w:val="7B42141C"/>
    <w:rsid w:val="7B522A7F"/>
    <w:rsid w:val="7B5A49B8"/>
    <w:rsid w:val="7B611F1B"/>
    <w:rsid w:val="7B646116"/>
    <w:rsid w:val="7B672C31"/>
    <w:rsid w:val="7B693A9A"/>
    <w:rsid w:val="7B8F0147"/>
    <w:rsid w:val="7B944153"/>
    <w:rsid w:val="7B973637"/>
    <w:rsid w:val="7B99551B"/>
    <w:rsid w:val="7BB06386"/>
    <w:rsid w:val="7BB26EAB"/>
    <w:rsid w:val="7BBB7A6B"/>
    <w:rsid w:val="7BDF39CB"/>
    <w:rsid w:val="7BDF4EBD"/>
    <w:rsid w:val="7BE2184C"/>
    <w:rsid w:val="7BE4685A"/>
    <w:rsid w:val="7BE67D1F"/>
    <w:rsid w:val="7BEE60F5"/>
    <w:rsid w:val="7BF107FE"/>
    <w:rsid w:val="7BF95739"/>
    <w:rsid w:val="7BFD5E5D"/>
    <w:rsid w:val="7BFE0DB3"/>
    <w:rsid w:val="7C0526B8"/>
    <w:rsid w:val="7C1157D7"/>
    <w:rsid w:val="7C183415"/>
    <w:rsid w:val="7C274045"/>
    <w:rsid w:val="7C2A1B74"/>
    <w:rsid w:val="7C2C0EAC"/>
    <w:rsid w:val="7C3070FD"/>
    <w:rsid w:val="7C3C5A91"/>
    <w:rsid w:val="7C4179E5"/>
    <w:rsid w:val="7C46246B"/>
    <w:rsid w:val="7C6C5F18"/>
    <w:rsid w:val="7C7A413F"/>
    <w:rsid w:val="7C857813"/>
    <w:rsid w:val="7C8A0308"/>
    <w:rsid w:val="7C8A044A"/>
    <w:rsid w:val="7C8F420B"/>
    <w:rsid w:val="7C92287A"/>
    <w:rsid w:val="7C9932BE"/>
    <w:rsid w:val="7C9A47D6"/>
    <w:rsid w:val="7C9E2EFB"/>
    <w:rsid w:val="7CA57EB5"/>
    <w:rsid w:val="7CA8398F"/>
    <w:rsid w:val="7CAD262E"/>
    <w:rsid w:val="7CAD7EFE"/>
    <w:rsid w:val="7CBE50AF"/>
    <w:rsid w:val="7CC138C1"/>
    <w:rsid w:val="7CC94589"/>
    <w:rsid w:val="7CFA3BCB"/>
    <w:rsid w:val="7CFD7A78"/>
    <w:rsid w:val="7D0156F3"/>
    <w:rsid w:val="7D0B4B42"/>
    <w:rsid w:val="7D100764"/>
    <w:rsid w:val="7D157E3D"/>
    <w:rsid w:val="7D167D94"/>
    <w:rsid w:val="7D254B52"/>
    <w:rsid w:val="7D497E9A"/>
    <w:rsid w:val="7D602A2C"/>
    <w:rsid w:val="7D6B6E1C"/>
    <w:rsid w:val="7D742BFD"/>
    <w:rsid w:val="7D74741D"/>
    <w:rsid w:val="7D777437"/>
    <w:rsid w:val="7D7B2700"/>
    <w:rsid w:val="7D9C1B9D"/>
    <w:rsid w:val="7D9E2FFE"/>
    <w:rsid w:val="7DA41F1A"/>
    <w:rsid w:val="7DA737B9"/>
    <w:rsid w:val="7DBA157D"/>
    <w:rsid w:val="7DBB7264"/>
    <w:rsid w:val="7DD14EE2"/>
    <w:rsid w:val="7DDC0985"/>
    <w:rsid w:val="7DDF4B00"/>
    <w:rsid w:val="7DE61463"/>
    <w:rsid w:val="7DEC0DE7"/>
    <w:rsid w:val="7E053BC1"/>
    <w:rsid w:val="7E0714B7"/>
    <w:rsid w:val="7E141E2B"/>
    <w:rsid w:val="7E350DC4"/>
    <w:rsid w:val="7E481261"/>
    <w:rsid w:val="7E5D6B9A"/>
    <w:rsid w:val="7E754A37"/>
    <w:rsid w:val="7E7656A7"/>
    <w:rsid w:val="7E7A3A8F"/>
    <w:rsid w:val="7E8301E9"/>
    <w:rsid w:val="7E8C308F"/>
    <w:rsid w:val="7E8F4235"/>
    <w:rsid w:val="7E952BC4"/>
    <w:rsid w:val="7EAC5434"/>
    <w:rsid w:val="7EC05AB6"/>
    <w:rsid w:val="7ED25AB3"/>
    <w:rsid w:val="7ED4759F"/>
    <w:rsid w:val="7ED95BF4"/>
    <w:rsid w:val="7EEA1BAF"/>
    <w:rsid w:val="7EF04F33"/>
    <w:rsid w:val="7F0F11C0"/>
    <w:rsid w:val="7F12331A"/>
    <w:rsid w:val="7F184658"/>
    <w:rsid w:val="7F1906E6"/>
    <w:rsid w:val="7F1B7FBA"/>
    <w:rsid w:val="7F370B6C"/>
    <w:rsid w:val="7F402117"/>
    <w:rsid w:val="7F420F9E"/>
    <w:rsid w:val="7F433D21"/>
    <w:rsid w:val="7F456C90"/>
    <w:rsid w:val="7F575365"/>
    <w:rsid w:val="7F5949F5"/>
    <w:rsid w:val="7F5D0A55"/>
    <w:rsid w:val="7F5D418B"/>
    <w:rsid w:val="7F6732D5"/>
    <w:rsid w:val="7F6C2D35"/>
    <w:rsid w:val="7F7B3C1D"/>
    <w:rsid w:val="7F913F9C"/>
    <w:rsid w:val="7F976443"/>
    <w:rsid w:val="7FA12B73"/>
    <w:rsid w:val="7FAB6442"/>
    <w:rsid w:val="7FB1091F"/>
    <w:rsid w:val="7FB30D11"/>
    <w:rsid w:val="7FB53A53"/>
    <w:rsid w:val="7FB60181"/>
    <w:rsid w:val="7FC13DA6"/>
    <w:rsid w:val="7FCB0A6D"/>
    <w:rsid w:val="7FD247B0"/>
    <w:rsid w:val="7FD91FF5"/>
    <w:rsid w:val="7FDC75D2"/>
    <w:rsid w:val="7FE14EB4"/>
    <w:rsid w:val="7FE222EF"/>
    <w:rsid w:val="7FE5681A"/>
    <w:rsid w:val="7FEB7F76"/>
    <w:rsid w:val="7FF52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lang w:val="en-US" w:eastAsia="zh-CN" w:bidi="ar-SA"/>
    </w:rPr>
  </w:style>
  <w:style w:type="paragraph" w:styleId="2">
    <w:name w:val="heading 1"/>
    <w:basedOn w:val="1"/>
    <w:next w:val="1"/>
    <w:autoRedefine/>
    <w:qFormat/>
    <w:uiPriority w:val="0"/>
    <w:pPr>
      <w:keepNext/>
      <w:keepLines/>
      <w:spacing w:beforeLines="50" w:afterLines="50"/>
      <w:jc w:val="center"/>
      <w:outlineLvl w:val="0"/>
    </w:pPr>
    <w:rPr>
      <w:rFonts w:eastAsia="黑体"/>
      <w:bCs/>
      <w:kern w:val="44"/>
      <w:sz w:val="28"/>
      <w:szCs w:val="44"/>
    </w:rPr>
  </w:style>
  <w:style w:type="paragraph" w:styleId="3">
    <w:name w:val="heading 2"/>
    <w:basedOn w:val="1"/>
    <w:next w:val="1"/>
    <w:link w:val="74"/>
    <w:autoRedefine/>
    <w:qFormat/>
    <w:uiPriority w:val="0"/>
    <w:pPr>
      <w:keepNext/>
      <w:adjustRightInd w:val="0"/>
      <w:snapToGrid w:val="0"/>
      <w:spacing w:beforeLines="100" w:afterLines="100" w:line="240" w:lineRule="atLeast"/>
      <w:jc w:val="center"/>
      <w:outlineLvl w:val="1"/>
    </w:pPr>
    <w:rPr>
      <w:rFonts w:eastAsia="黑体"/>
      <w:bCs/>
      <w:szCs w:val="28"/>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paragraph" w:styleId="5">
    <w:name w:val="heading 4"/>
    <w:basedOn w:val="1"/>
    <w:next w:val="1"/>
    <w:autoRedefine/>
    <w:qFormat/>
    <w:uiPriority w:val="0"/>
    <w:pPr>
      <w:keepNext/>
      <w:keepLines/>
      <w:tabs>
        <w:tab w:val="left" w:pos="864"/>
      </w:tabs>
      <w:spacing w:before="280" w:after="290" w:line="376" w:lineRule="auto"/>
      <w:ind w:left="864" w:hanging="864"/>
      <w:outlineLvl w:val="3"/>
    </w:pPr>
    <w:rPr>
      <w:rFonts w:ascii="Arial" w:hAnsi="Arial" w:eastAsia="黑体"/>
      <w:b/>
      <w:bCs/>
      <w:sz w:val="28"/>
      <w:szCs w:val="28"/>
    </w:rPr>
  </w:style>
  <w:style w:type="paragraph" w:styleId="6">
    <w:name w:val="heading 5"/>
    <w:basedOn w:val="1"/>
    <w:next w:val="1"/>
    <w:autoRedefine/>
    <w:qFormat/>
    <w:uiPriority w:val="0"/>
    <w:pPr>
      <w:keepNext/>
      <w:keepLines/>
      <w:tabs>
        <w:tab w:val="left" w:pos="1008"/>
      </w:tabs>
      <w:spacing w:before="280" w:after="290" w:line="376" w:lineRule="auto"/>
      <w:ind w:left="1008" w:hanging="1008"/>
      <w:outlineLvl w:val="4"/>
    </w:pPr>
    <w:rPr>
      <w:b/>
      <w:bCs/>
      <w:sz w:val="28"/>
      <w:szCs w:val="28"/>
    </w:rPr>
  </w:style>
  <w:style w:type="paragraph" w:styleId="7">
    <w:name w:val="heading 6"/>
    <w:basedOn w:val="1"/>
    <w:next w:val="1"/>
    <w:autoRedefine/>
    <w:qFormat/>
    <w:uiPriority w:val="0"/>
    <w:pPr>
      <w:keepNext/>
      <w:tabs>
        <w:tab w:val="left" w:pos="1152"/>
      </w:tabs>
      <w:spacing w:line="480" w:lineRule="exact"/>
      <w:ind w:left="1152" w:hanging="1152" w:firstLineChars="1400"/>
      <w:outlineLvl w:val="5"/>
    </w:pPr>
    <w:rPr>
      <w:sz w:val="28"/>
      <w:szCs w:val="24"/>
    </w:rPr>
  </w:style>
  <w:style w:type="paragraph" w:styleId="8">
    <w:name w:val="heading 7"/>
    <w:basedOn w:val="1"/>
    <w:next w:val="1"/>
    <w:autoRedefine/>
    <w:qFormat/>
    <w:uiPriority w:val="0"/>
    <w:pPr>
      <w:keepNext/>
      <w:keepLines/>
      <w:tabs>
        <w:tab w:val="left" w:pos="1296"/>
      </w:tabs>
      <w:spacing w:before="240" w:after="64" w:line="320" w:lineRule="auto"/>
      <w:ind w:left="1296" w:hanging="1296"/>
      <w:outlineLvl w:val="6"/>
    </w:pPr>
    <w:rPr>
      <w:b/>
      <w:bCs/>
      <w:sz w:val="24"/>
      <w:szCs w:val="24"/>
    </w:rPr>
  </w:style>
  <w:style w:type="paragraph" w:styleId="9">
    <w:name w:val="heading 8"/>
    <w:basedOn w:val="1"/>
    <w:next w:val="1"/>
    <w:autoRedefine/>
    <w:qFormat/>
    <w:uiPriority w:val="0"/>
    <w:pPr>
      <w:keepNext/>
      <w:keepLines/>
      <w:tabs>
        <w:tab w:val="left" w:pos="1440"/>
      </w:tabs>
      <w:spacing w:before="240" w:after="64" w:line="320" w:lineRule="auto"/>
      <w:ind w:left="1440" w:hanging="1440"/>
      <w:outlineLvl w:val="7"/>
    </w:pPr>
    <w:rPr>
      <w:rFonts w:ascii="Arial" w:hAnsi="Arial" w:eastAsia="黑体"/>
      <w:sz w:val="24"/>
      <w:szCs w:val="24"/>
    </w:rPr>
  </w:style>
  <w:style w:type="paragraph" w:styleId="10">
    <w:name w:val="heading 9"/>
    <w:basedOn w:val="1"/>
    <w:next w:val="1"/>
    <w:autoRedefine/>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50">
    <w:name w:val="Default Paragraph Font"/>
    <w:autoRedefine/>
    <w:semiHidden/>
    <w:unhideWhenUsed/>
    <w:qFormat/>
    <w:uiPriority w:val="1"/>
  </w:style>
  <w:style w:type="table" w:default="1" w:styleId="48">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szCs w:val="24"/>
    </w:rPr>
  </w:style>
  <w:style w:type="paragraph" w:styleId="12">
    <w:name w:val="toc 7"/>
    <w:basedOn w:val="1"/>
    <w:next w:val="1"/>
    <w:autoRedefine/>
    <w:semiHidden/>
    <w:qFormat/>
    <w:uiPriority w:val="0"/>
    <w:pPr>
      <w:ind w:left="1260"/>
      <w:jc w:val="left"/>
    </w:pPr>
    <w:rPr>
      <w:rFonts w:cs="Calibri"/>
      <w:sz w:val="18"/>
      <w:szCs w:val="18"/>
    </w:rPr>
  </w:style>
  <w:style w:type="paragraph" w:styleId="13">
    <w:name w:val="Normal Indent"/>
    <w:basedOn w:val="1"/>
    <w:autoRedefine/>
    <w:qFormat/>
    <w:uiPriority w:val="0"/>
    <w:pPr>
      <w:ind w:firstLine="420"/>
    </w:pPr>
    <w:rPr>
      <w:szCs w:val="21"/>
    </w:rPr>
  </w:style>
  <w:style w:type="paragraph" w:styleId="14">
    <w:name w:val="caption"/>
    <w:basedOn w:val="1"/>
    <w:next w:val="1"/>
    <w:autoRedefine/>
    <w:qFormat/>
    <w:uiPriority w:val="0"/>
    <w:pPr>
      <w:spacing w:before="152" w:after="160"/>
    </w:pPr>
    <w:rPr>
      <w:rFonts w:ascii="Arial" w:hAnsi="Arial" w:eastAsia="黑体" w:cs="Arial"/>
      <w:sz w:val="20"/>
    </w:rPr>
  </w:style>
  <w:style w:type="paragraph" w:styleId="15">
    <w:name w:val="Document Map"/>
    <w:basedOn w:val="1"/>
    <w:autoRedefine/>
    <w:semiHidden/>
    <w:qFormat/>
    <w:uiPriority w:val="0"/>
    <w:pPr>
      <w:shd w:val="clear" w:color="auto" w:fill="000080"/>
    </w:pPr>
  </w:style>
  <w:style w:type="paragraph" w:styleId="16">
    <w:name w:val="annotation text"/>
    <w:basedOn w:val="1"/>
    <w:autoRedefine/>
    <w:semiHidden/>
    <w:qFormat/>
    <w:uiPriority w:val="0"/>
    <w:pPr>
      <w:jc w:val="left"/>
    </w:pPr>
    <w:rPr>
      <w:szCs w:val="24"/>
    </w:rPr>
  </w:style>
  <w:style w:type="paragraph" w:styleId="17">
    <w:name w:val="Body Text 3"/>
    <w:basedOn w:val="1"/>
    <w:autoRedefine/>
    <w:qFormat/>
    <w:uiPriority w:val="0"/>
    <w:pPr>
      <w:jc w:val="center"/>
    </w:pPr>
    <w:rPr>
      <w:rFonts w:eastAsia="方正书宋简体"/>
      <w:sz w:val="15"/>
    </w:rPr>
  </w:style>
  <w:style w:type="paragraph" w:styleId="18">
    <w:name w:val="Body Text"/>
    <w:basedOn w:val="1"/>
    <w:autoRedefine/>
    <w:qFormat/>
    <w:uiPriority w:val="0"/>
    <w:pPr>
      <w:adjustRightInd w:val="0"/>
      <w:spacing w:after="120" w:line="312" w:lineRule="atLeast"/>
      <w:textAlignment w:val="baseline"/>
    </w:pPr>
    <w:rPr>
      <w:kern w:val="0"/>
    </w:rPr>
  </w:style>
  <w:style w:type="paragraph" w:styleId="19">
    <w:name w:val="Body Text Indent"/>
    <w:basedOn w:val="1"/>
    <w:autoRedefine/>
    <w:qFormat/>
    <w:uiPriority w:val="0"/>
    <w:pPr>
      <w:ind w:firstLine="420"/>
    </w:pPr>
    <w:rPr>
      <w:sz w:val="18"/>
      <w:szCs w:val="24"/>
    </w:rPr>
  </w:style>
  <w:style w:type="paragraph" w:styleId="20">
    <w:name w:val="List 2"/>
    <w:basedOn w:val="1"/>
    <w:autoRedefine/>
    <w:qFormat/>
    <w:uiPriority w:val="0"/>
    <w:pPr>
      <w:ind w:left="100" w:leftChars="200" w:hanging="200" w:hangingChars="200"/>
    </w:pPr>
    <w:rPr>
      <w:szCs w:val="24"/>
    </w:rPr>
  </w:style>
  <w:style w:type="paragraph" w:styleId="21">
    <w:name w:val="List Continue"/>
    <w:basedOn w:val="1"/>
    <w:autoRedefine/>
    <w:qFormat/>
    <w:uiPriority w:val="0"/>
    <w:pPr>
      <w:spacing w:after="120"/>
      <w:ind w:left="420" w:leftChars="200"/>
    </w:pPr>
    <w:rPr>
      <w:szCs w:val="24"/>
    </w:rPr>
  </w:style>
  <w:style w:type="paragraph" w:styleId="22">
    <w:name w:val="toc 5"/>
    <w:basedOn w:val="1"/>
    <w:next w:val="1"/>
    <w:autoRedefine/>
    <w:semiHidden/>
    <w:qFormat/>
    <w:uiPriority w:val="0"/>
    <w:pPr>
      <w:ind w:left="840"/>
      <w:jc w:val="left"/>
    </w:pPr>
    <w:rPr>
      <w:rFonts w:cs="Calibri"/>
      <w:sz w:val="18"/>
      <w:szCs w:val="18"/>
    </w:rPr>
  </w:style>
  <w:style w:type="paragraph" w:styleId="23">
    <w:name w:val="toc 3"/>
    <w:basedOn w:val="1"/>
    <w:next w:val="1"/>
    <w:autoRedefine/>
    <w:semiHidden/>
    <w:qFormat/>
    <w:uiPriority w:val="0"/>
    <w:pPr>
      <w:ind w:left="420"/>
      <w:jc w:val="left"/>
    </w:pPr>
    <w:rPr>
      <w:rFonts w:cs="Calibri"/>
      <w:i/>
      <w:iCs/>
      <w:sz w:val="20"/>
    </w:rPr>
  </w:style>
  <w:style w:type="paragraph" w:styleId="24">
    <w:name w:val="toc 8"/>
    <w:basedOn w:val="1"/>
    <w:next w:val="1"/>
    <w:autoRedefine/>
    <w:semiHidden/>
    <w:qFormat/>
    <w:uiPriority w:val="0"/>
    <w:pPr>
      <w:ind w:left="1470"/>
      <w:jc w:val="left"/>
    </w:pPr>
    <w:rPr>
      <w:rFonts w:cs="Calibri"/>
      <w:sz w:val="18"/>
      <w:szCs w:val="18"/>
    </w:rPr>
  </w:style>
  <w:style w:type="paragraph" w:styleId="25">
    <w:name w:val="Date"/>
    <w:basedOn w:val="1"/>
    <w:next w:val="1"/>
    <w:autoRedefine/>
    <w:qFormat/>
    <w:uiPriority w:val="0"/>
    <w:pPr>
      <w:ind w:left="100" w:leftChars="2500"/>
    </w:pPr>
  </w:style>
  <w:style w:type="paragraph" w:styleId="26">
    <w:name w:val="Body Text Indent 2"/>
    <w:basedOn w:val="1"/>
    <w:autoRedefine/>
    <w:qFormat/>
    <w:uiPriority w:val="0"/>
    <w:pPr>
      <w:ind w:left="425"/>
    </w:pPr>
    <w:rPr>
      <w:color w:val="0000FF"/>
      <w:sz w:val="18"/>
      <w:szCs w:val="24"/>
    </w:rPr>
  </w:style>
  <w:style w:type="paragraph" w:styleId="27">
    <w:name w:val="Balloon Text"/>
    <w:basedOn w:val="1"/>
    <w:autoRedefine/>
    <w:semiHidden/>
    <w:qFormat/>
    <w:uiPriority w:val="0"/>
    <w:rPr>
      <w:sz w:val="18"/>
      <w:szCs w:val="18"/>
    </w:rPr>
  </w:style>
  <w:style w:type="paragraph" w:styleId="28">
    <w:name w:val="footer"/>
    <w:basedOn w:val="1"/>
    <w:autoRedefine/>
    <w:qFormat/>
    <w:uiPriority w:val="0"/>
    <w:pPr>
      <w:tabs>
        <w:tab w:val="center" w:pos="4153"/>
        <w:tab w:val="right" w:pos="8306"/>
      </w:tabs>
      <w:snapToGrid w:val="0"/>
      <w:jc w:val="left"/>
    </w:pPr>
    <w:rPr>
      <w:sz w:val="18"/>
      <w:szCs w:val="18"/>
    </w:rPr>
  </w:style>
  <w:style w:type="paragraph" w:styleId="2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autoRedefine/>
    <w:qFormat/>
    <w:uiPriority w:val="39"/>
    <w:pPr>
      <w:tabs>
        <w:tab w:val="right" w:leader="dot" w:pos="5886"/>
      </w:tabs>
      <w:spacing w:before="120" w:after="120"/>
      <w:jc w:val="left"/>
    </w:pPr>
    <w:rPr>
      <w:rFonts w:cs="Calibri"/>
      <w:b/>
      <w:bCs/>
      <w:caps/>
      <w:sz w:val="20"/>
    </w:rPr>
  </w:style>
  <w:style w:type="paragraph" w:styleId="31">
    <w:name w:val="List Continue 4"/>
    <w:basedOn w:val="1"/>
    <w:autoRedefine/>
    <w:qFormat/>
    <w:uiPriority w:val="0"/>
    <w:pPr>
      <w:spacing w:after="120"/>
      <w:ind w:left="1680" w:leftChars="800"/>
    </w:pPr>
    <w:rPr>
      <w:szCs w:val="24"/>
    </w:rPr>
  </w:style>
  <w:style w:type="paragraph" w:styleId="32">
    <w:name w:val="toc 4"/>
    <w:basedOn w:val="1"/>
    <w:next w:val="1"/>
    <w:autoRedefine/>
    <w:semiHidden/>
    <w:qFormat/>
    <w:uiPriority w:val="0"/>
    <w:pPr>
      <w:ind w:left="630"/>
      <w:jc w:val="left"/>
    </w:pPr>
    <w:rPr>
      <w:rFonts w:cs="Calibri"/>
      <w:sz w:val="18"/>
      <w:szCs w:val="18"/>
    </w:rPr>
  </w:style>
  <w:style w:type="paragraph" w:styleId="33">
    <w:name w:val="Subtitle"/>
    <w:basedOn w:val="1"/>
    <w:next w:val="1"/>
    <w:autoRedefine/>
    <w:qFormat/>
    <w:uiPriority w:val="0"/>
    <w:pPr>
      <w:spacing w:before="240" w:after="60" w:line="312" w:lineRule="auto"/>
      <w:ind w:firstLine="200" w:firstLineChars="200"/>
      <w:jc w:val="center"/>
      <w:outlineLvl w:val="1"/>
    </w:pPr>
    <w:rPr>
      <w:rFonts w:ascii="Cambria" w:hAnsi="Cambria"/>
      <w:b/>
      <w:bCs/>
      <w:kern w:val="28"/>
      <w:sz w:val="32"/>
      <w:szCs w:val="32"/>
    </w:rPr>
  </w:style>
  <w:style w:type="paragraph" w:styleId="34">
    <w:name w:val="List"/>
    <w:basedOn w:val="1"/>
    <w:autoRedefine/>
    <w:qFormat/>
    <w:uiPriority w:val="0"/>
    <w:pPr>
      <w:ind w:left="200" w:hanging="200" w:hangingChars="200"/>
    </w:pPr>
    <w:rPr>
      <w:szCs w:val="24"/>
    </w:rPr>
  </w:style>
  <w:style w:type="paragraph" w:styleId="35">
    <w:name w:val="toc 6"/>
    <w:basedOn w:val="1"/>
    <w:next w:val="1"/>
    <w:autoRedefine/>
    <w:semiHidden/>
    <w:qFormat/>
    <w:uiPriority w:val="0"/>
    <w:pPr>
      <w:ind w:left="1050"/>
      <w:jc w:val="left"/>
    </w:pPr>
    <w:rPr>
      <w:rFonts w:cs="Calibri"/>
      <w:sz w:val="18"/>
      <w:szCs w:val="18"/>
    </w:rPr>
  </w:style>
  <w:style w:type="paragraph" w:styleId="36">
    <w:name w:val="List 5"/>
    <w:basedOn w:val="1"/>
    <w:autoRedefine/>
    <w:qFormat/>
    <w:uiPriority w:val="0"/>
    <w:pPr>
      <w:ind w:left="100" w:leftChars="800" w:hanging="200" w:hangingChars="200"/>
    </w:pPr>
    <w:rPr>
      <w:szCs w:val="24"/>
    </w:rPr>
  </w:style>
  <w:style w:type="paragraph" w:styleId="37">
    <w:name w:val="Body Text Indent 3"/>
    <w:basedOn w:val="1"/>
    <w:autoRedefine/>
    <w:qFormat/>
    <w:uiPriority w:val="0"/>
    <w:pPr>
      <w:spacing w:line="312" w:lineRule="exact"/>
      <w:ind w:firstLine="420" w:firstLineChars="200"/>
    </w:pPr>
    <w:rPr>
      <w:rFonts w:eastAsia="方正书宋简体"/>
    </w:rPr>
  </w:style>
  <w:style w:type="paragraph" w:styleId="38">
    <w:name w:val="toc 2"/>
    <w:basedOn w:val="1"/>
    <w:next w:val="1"/>
    <w:autoRedefine/>
    <w:qFormat/>
    <w:uiPriority w:val="39"/>
    <w:pPr>
      <w:ind w:left="210"/>
      <w:jc w:val="left"/>
    </w:pPr>
    <w:rPr>
      <w:rFonts w:cs="Calibri"/>
      <w:smallCaps/>
      <w:sz w:val="20"/>
    </w:rPr>
  </w:style>
  <w:style w:type="paragraph" w:styleId="39">
    <w:name w:val="toc 9"/>
    <w:basedOn w:val="1"/>
    <w:next w:val="1"/>
    <w:autoRedefine/>
    <w:semiHidden/>
    <w:qFormat/>
    <w:uiPriority w:val="0"/>
    <w:pPr>
      <w:ind w:left="1680"/>
      <w:jc w:val="left"/>
    </w:pPr>
    <w:rPr>
      <w:rFonts w:cs="Calibri"/>
      <w:sz w:val="18"/>
      <w:szCs w:val="18"/>
    </w:rPr>
  </w:style>
  <w:style w:type="paragraph" w:styleId="40">
    <w:name w:val="Body Text 2"/>
    <w:basedOn w:val="1"/>
    <w:autoRedefine/>
    <w:qFormat/>
    <w:uiPriority w:val="0"/>
    <w:pPr>
      <w:spacing w:after="120" w:line="480" w:lineRule="auto"/>
    </w:pPr>
    <w:rPr>
      <w:szCs w:val="24"/>
    </w:rPr>
  </w:style>
  <w:style w:type="paragraph" w:styleId="41">
    <w:name w:val="List 4"/>
    <w:basedOn w:val="1"/>
    <w:autoRedefine/>
    <w:qFormat/>
    <w:uiPriority w:val="0"/>
    <w:pPr>
      <w:ind w:left="100" w:leftChars="600" w:hanging="200" w:hangingChars="200"/>
    </w:pPr>
    <w:rPr>
      <w:szCs w:val="24"/>
    </w:rPr>
  </w:style>
  <w:style w:type="paragraph" w:styleId="42">
    <w:name w:val="List Continue 2"/>
    <w:basedOn w:val="1"/>
    <w:autoRedefine/>
    <w:qFormat/>
    <w:uiPriority w:val="0"/>
    <w:pPr>
      <w:spacing w:after="120"/>
      <w:ind w:left="840" w:leftChars="400"/>
    </w:pPr>
    <w:rPr>
      <w:szCs w:val="24"/>
    </w:rPr>
  </w:style>
  <w:style w:type="paragraph" w:styleId="43">
    <w:name w:val="Normal (Web)"/>
    <w:basedOn w:val="1"/>
    <w:autoRedefine/>
    <w:qFormat/>
    <w:uiPriority w:val="0"/>
    <w:pPr>
      <w:widowControl/>
      <w:spacing w:before="100" w:beforeAutospacing="1" w:after="100" w:afterAutospacing="1"/>
      <w:jc w:val="left"/>
    </w:pPr>
    <w:rPr>
      <w:rFonts w:ascii="宋体" w:hAnsi="宋体"/>
      <w:kern w:val="0"/>
      <w:sz w:val="24"/>
      <w:szCs w:val="24"/>
    </w:rPr>
  </w:style>
  <w:style w:type="paragraph" w:styleId="44">
    <w:name w:val="List Continue 3"/>
    <w:basedOn w:val="1"/>
    <w:autoRedefine/>
    <w:qFormat/>
    <w:uiPriority w:val="0"/>
    <w:pPr>
      <w:spacing w:after="120"/>
      <w:ind w:left="1260" w:leftChars="600"/>
    </w:pPr>
    <w:rPr>
      <w:szCs w:val="24"/>
    </w:rPr>
  </w:style>
  <w:style w:type="paragraph" w:styleId="45">
    <w:name w:val="Title"/>
    <w:basedOn w:val="1"/>
    <w:next w:val="1"/>
    <w:autoRedefine/>
    <w:qFormat/>
    <w:uiPriority w:val="0"/>
    <w:pPr>
      <w:spacing w:before="340" w:after="340" w:line="360" w:lineRule="auto"/>
      <w:jc w:val="center"/>
      <w:outlineLvl w:val="0"/>
    </w:pPr>
    <w:rPr>
      <w:rFonts w:ascii="Cambria" w:hAnsi="Cambria"/>
      <w:b/>
      <w:bCs/>
      <w:sz w:val="30"/>
      <w:szCs w:val="32"/>
    </w:rPr>
  </w:style>
  <w:style w:type="paragraph" w:styleId="46">
    <w:name w:val="annotation subject"/>
    <w:basedOn w:val="16"/>
    <w:next w:val="16"/>
    <w:autoRedefine/>
    <w:semiHidden/>
    <w:qFormat/>
    <w:uiPriority w:val="0"/>
    <w:rPr>
      <w:b/>
      <w:bCs/>
    </w:rPr>
  </w:style>
  <w:style w:type="paragraph" w:styleId="47">
    <w:name w:val="Body Text First Indent 2"/>
    <w:basedOn w:val="19"/>
    <w:autoRedefine/>
    <w:unhideWhenUsed/>
    <w:qFormat/>
    <w:uiPriority w:val="99"/>
    <w:pPr>
      <w:ind w:firstLineChars="200"/>
    </w:pPr>
    <w:rPr>
      <w:szCs w:val="21"/>
    </w:rPr>
  </w:style>
  <w:style w:type="table" w:styleId="49">
    <w:name w:val="Table Grid"/>
    <w:basedOn w:val="48"/>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1">
    <w:name w:val="page number"/>
    <w:basedOn w:val="50"/>
    <w:autoRedefine/>
    <w:qFormat/>
    <w:uiPriority w:val="0"/>
  </w:style>
  <w:style w:type="character" w:styleId="52">
    <w:name w:val="FollowedHyperlink"/>
    <w:autoRedefine/>
    <w:qFormat/>
    <w:uiPriority w:val="0"/>
    <w:rPr>
      <w:color w:val="800080"/>
      <w:u w:val="single"/>
    </w:rPr>
  </w:style>
  <w:style w:type="character" w:styleId="53">
    <w:name w:val="Hyperlink"/>
    <w:autoRedefine/>
    <w:qFormat/>
    <w:uiPriority w:val="99"/>
    <w:rPr>
      <w:color w:val="0000FF"/>
      <w:u w:val="single"/>
    </w:rPr>
  </w:style>
  <w:style w:type="character" w:styleId="54">
    <w:name w:val="annotation reference"/>
    <w:autoRedefine/>
    <w:semiHidden/>
    <w:qFormat/>
    <w:uiPriority w:val="0"/>
    <w:rPr>
      <w:sz w:val="21"/>
      <w:szCs w:val="21"/>
    </w:rPr>
  </w:style>
  <w:style w:type="paragraph" w:customStyle="1" w:styleId="55">
    <w:name w:val="列出段落1"/>
    <w:basedOn w:val="1"/>
    <w:autoRedefine/>
    <w:qFormat/>
    <w:uiPriority w:val="0"/>
    <w:pPr>
      <w:spacing w:line="360" w:lineRule="auto"/>
      <w:ind w:firstLine="420" w:firstLineChars="200"/>
    </w:pPr>
    <w:rPr>
      <w:sz w:val="24"/>
      <w:szCs w:val="22"/>
    </w:rPr>
  </w:style>
  <w:style w:type="paragraph" w:customStyle="1" w:styleId="56">
    <w:name w:val="样式 标题 2 + 黑体"/>
    <w:basedOn w:val="3"/>
    <w:link w:val="73"/>
    <w:autoRedefine/>
    <w:qFormat/>
    <w:uiPriority w:val="0"/>
    <w:rPr>
      <w:rFonts w:ascii="黑体" w:hAnsi="黑体"/>
    </w:rPr>
  </w:style>
  <w:style w:type="paragraph" w:customStyle="1" w:styleId="57">
    <w:name w:val="附录三级条标题"/>
    <w:basedOn w:val="58"/>
    <w:next w:val="1"/>
    <w:autoRedefine/>
    <w:qFormat/>
    <w:uiPriority w:val="0"/>
    <w:pPr>
      <w:numPr>
        <w:ilvl w:val="4"/>
      </w:numPr>
      <w:tabs>
        <w:tab w:val="left" w:pos="855"/>
        <w:tab w:val="left" w:pos="1260"/>
        <w:tab w:val="left" w:pos="1680"/>
        <w:tab w:val="left" w:pos="2100"/>
      </w:tabs>
      <w:ind w:left="2100" w:hanging="420"/>
      <w:outlineLvl w:val="4"/>
    </w:pPr>
  </w:style>
  <w:style w:type="paragraph" w:customStyle="1" w:styleId="58">
    <w:name w:val="附录二级条标题"/>
    <w:basedOn w:val="59"/>
    <w:next w:val="1"/>
    <w:autoRedefine/>
    <w:qFormat/>
    <w:uiPriority w:val="0"/>
    <w:pPr>
      <w:numPr>
        <w:ilvl w:val="3"/>
      </w:numPr>
      <w:tabs>
        <w:tab w:val="left" w:pos="855"/>
        <w:tab w:val="left" w:pos="1260"/>
        <w:tab w:val="left" w:pos="1680"/>
      </w:tabs>
      <w:ind w:left="1680" w:hanging="420"/>
      <w:outlineLvl w:val="3"/>
    </w:pPr>
  </w:style>
  <w:style w:type="paragraph" w:customStyle="1" w:styleId="59">
    <w:name w:val="附录一级条标题"/>
    <w:basedOn w:val="60"/>
    <w:next w:val="1"/>
    <w:autoRedefine/>
    <w:qFormat/>
    <w:uiPriority w:val="0"/>
    <w:pPr>
      <w:numPr>
        <w:ilvl w:val="2"/>
      </w:numPr>
      <w:tabs>
        <w:tab w:val="left" w:pos="855"/>
        <w:tab w:val="left" w:pos="1260"/>
      </w:tabs>
      <w:autoSpaceDN w:val="0"/>
      <w:spacing w:beforeLines="0" w:afterLines="0"/>
      <w:ind w:left="1260" w:hanging="420"/>
      <w:outlineLvl w:val="2"/>
    </w:pPr>
  </w:style>
  <w:style w:type="paragraph" w:customStyle="1" w:styleId="60">
    <w:name w:val="附录章标题"/>
    <w:next w:val="1"/>
    <w:autoRedefine/>
    <w:qFormat/>
    <w:uiPriority w:val="0"/>
    <w:pPr>
      <w:numPr>
        <w:ilvl w:val="1"/>
        <w:numId w:val="1"/>
      </w:numPr>
      <w:wordWrap w:val="0"/>
      <w:overflowPunct w:val="0"/>
      <w:autoSpaceDE w:val="0"/>
      <w:spacing w:beforeLines="50" w:afterLines="50"/>
      <w:jc w:val="both"/>
      <w:textAlignment w:val="baseline"/>
      <w:outlineLvl w:val="1"/>
    </w:pPr>
    <w:rPr>
      <w:rFonts w:ascii="黑体" w:hAnsi="Calibri" w:eastAsia="黑体" w:cs="Times New Roman"/>
      <w:kern w:val="21"/>
      <w:sz w:val="21"/>
      <w:lang w:val="en-US" w:eastAsia="zh-CN" w:bidi="ar-SA"/>
    </w:rPr>
  </w:style>
  <w:style w:type="paragraph" w:customStyle="1" w:styleId="61">
    <w:name w:val="Char"/>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62">
    <w:name w:val="附录五级条标题"/>
    <w:basedOn w:val="63"/>
    <w:next w:val="1"/>
    <w:autoRedefine/>
    <w:qFormat/>
    <w:uiPriority w:val="0"/>
    <w:pPr>
      <w:numPr>
        <w:ilvl w:val="6"/>
        <w:numId w:val="2"/>
      </w:numPr>
      <w:tabs>
        <w:tab w:val="left" w:pos="855"/>
        <w:tab w:val="left" w:pos="1260"/>
        <w:tab w:val="left" w:pos="1680"/>
        <w:tab w:val="left" w:pos="2100"/>
        <w:tab w:val="left" w:pos="2520"/>
        <w:tab w:val="left" w:pos="2940"/>
      </w:tabs>
      <w:ind w:left="2940" w:hanging="420"/>
      <w:outlineLvl w:val="6"/>
    </w:pPr>
  </w:style>
  <w:style w:type="paragraph" w:customStyle="1" w:styleId="63">
    <w:name w:val="附录四级条标题"/>
    <w:basedOn w:val="57"/>
    <w:next w:val="1"/>
    <w:autoRedefine/>
    <w:qFormat/>
    <w:uiPriority w:val="0"/>
    <w:pPr>
      <w:numPr>
        <w:ilvl w:val="5"/>
      </w:numPr>
      <w:tabs>
        <w:tab w:val="left" w:pos="2520"/>
      </w:tabs>
      <w:ind w:left="2520" w:hanging="420"/>
      <w:outlineLvl w:val="5"/>
    </w:pPr>
  </w:style>
  <w:style w:type="paragraph" w:customStyle="1" w:styleId="64">
    <w:name w:val="简单回函地址"/>
    <w:basedOn w:val="1"/>
    <w:autoRedefine/>
    <w:qFormat/>
    <w:uiPriority w:val="0"/>
    <w:rPr>
      <w:szCs w:val="24"/>
    </w:rPr>
  </w:style>
  <w:style w:type="paragraph" w:customStyle="1" w:styleId="65">
    <w:name w:val="附录标识"/>
    <w:basedOn w:val="1"/>
    <w:autoRedefine/>
    <w:qFormat/>
    <w:uiPriority w:val="0"/>
    <w:pPr>
      <w:widowControl/>
      <w:numPr>
        <w:ilvl w:val="0"/>
        <w:numId w:val="1"/>
      </w:numPr>
      <w:shd w:val="clear" w:color="FFFFFF" w:fill="FFFFFF"/>
      <w:tabs>
        <w:tab w:val="left" w:pos="6405"/>
      </w:tabs>
      <w:spacing w:before="640" w:after="200" w:line="360" w:lineRule="auto"/>
      <w:ind w:firstLine="200" w:firstLineChars="200"/>
      <w:jc w:val="center"/>
      <w:outlineLvl w:val="0"/>
    </w:pPr>
    <w:rPr>
      <w:rFonts w:ascii="黑体" w:eastAsia="黑体"/>
      <w:kern w:val="0"/>
    </w:rPr>
  </w:style>
  <w:style w:type="paragraph" w:customStyle="1" w:styleId="66">
    <w:name w:val="样式 标题 2 + 段前: 1 行 段后: 1 行"/>
    <w:basedOn w:val="3"/>
    <w:autoRedefine/>
    <w:qFormat/>
    <w:uiPriority w:val="0"/>
    <w:pPr>
      <w:spacing w:before="312" w:after="312"/>
    </w:pPr>
    <w:rPr>
      <w:rFonts w:cs="宋体"/>
      <w:szCs w:val="20"/>
    </w:rPr>
  </w:style>
  <w:style w:type="paragraph" w:customStyle="1" w:styleId="67">
    <w:name w:val="1"/>
    <w:basedOn w:val="1"/>
    <w:next w:val="19"/>
    <w:autoRedefine/>
    <w:qFormat/>
    <w:uiPriority w:val="0"/>
    <w:pPr>
      <w:ind w:firstLine="420"/>
    </w:pPr>
    <w:rPr>
      <w:sz w:val="18"/>
      <w:szCs w:val="24"/>
    </w:rPr>
  </w:style>
  <w:style w:type="paragraph" w:customStyle="1" w:styleId="68">
    <w:name w:val="段"/>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69">
    <w:name w:val="条文"/>
    <w:basedOn w:val="1"/>
    <w:autoRedefine/>
    <w:qFormat/>
    <w:uiPriority w:val="0"/>
    <w:pPr>
      <w:spacing w:line="300" w:lineRule="auto"/>
      <w:outlineLvl w:val="2"/>
    </w:pPr>
    <w:rPr>
      <w:sz w:val="24"/>
      <w:szCs w:val="24"/>
    </w:rPr>
  </w:style>
  <w:style w:type="paragraph" w:customStyle="1" w:styleId="70">
    <w:name w:val="正文文本缩进 21"/>
    <w:basedOn w:val="1"/>
    <w:autoRedefine/>
    <w:qFormat/>
    <w:uiPriority w:val="0"/>
    <w:pPr>
      <w:adjustRightInd w:val="0"/>
      <w:spacing w:line="240" w:lineRule="atLeast"/>
      <w:ind w:firstLine="420"/>
      <w:textAlignment w:val="baseline"/>
    </w:pPr>
    <w:rPr>
      <w:rFonts w:eastAsia="楷体_GB2312"/>
    </w:rPr>
  </w:style>
  <w:style w:type="paragraph" w:customStyle="1" w:styleId="71">
    <w:name w:val="无间隔1"/>
    <w:autoRedefine/>
    <w:qFormat/>
    <w:uiPriority w:val="0"/>
    <w:pPr>
      <w:widowControl w:val="0"/>
      <w:spacing w:line="360" w:lineRule="auto"/>
      <w:ind w:firstLine="200" w:firstLineChars="200"/>
      <w:jc w:val="both"/>
    </w:pPr>
    <w:rPr>
      <w:rFonts w:ascii="Calibri" w:hAnsi="Calibri" w:eastAsia="仿宋_GB2312" w:cs="Times New Roman"/>
      <w:kern w:val="2"/>
      <w:sz w:val="21"/>
      <w:szCs w:val="22"/>
      <w:lang w:val="en-US" w:eastAsia="zh-CN" w:bidi="ar-SA"/>
    </w:rPr>
  </w:style>
  <w:style w:type="character" w:customStyle="1" w:styleId="72">
    <w:name w:val="Char Char3"/>
    <w:autoRedefine/>
    <w:qFormat/>
    <w:uiPriority w:val="0"/>
    <w:rPr>
      <w:rFonts w:eastAsia="宋体"/>
      <w:kern w:val="2"/>
      <w:sz w:val="18"/>
      <w:szCs w:val="18"/>
      <w:lang w:val="en-US" w:eastAsia="zh-CN" w:bidi="ar-SA"/>
    </w:rPr>
  </w:style>
  <w:style w:type="character" w:customStyle="1" w:styleId="73">
    <w:name w:val="样式 标题 2 + 黑体 Char"/>
    <w:basedOn w:val="74"/>
    <w:link w:val="56"/>
    <w:autoRedefine/>
    <w:qFormat/>
    <w:uiPriority w:val="0"/>
    <w:rPr>
      <w:rFonts w:ascii="黑体" w:hAnsi="黑体" w:eastAsia="黑体"/>
      <w:kern w:val="2"/>
      <w:sz w:val="21"/>
      <w:szCs w:val="28"/>
      <w:lang w:val="en-US" w:eastAsia="zh-CN" w:bidi="ar-SA"/>
    </w:rPr>
  </w:style>
  <w:style w:type="character" w:customStyle="1" w:styleId="74">
    <w:name w:val="标题 2 Char"/>
    <w:basedOn w:val="50"/>
    <w:link w:val="3"/>
    <w:autoRedefine/>
    <w:qFormat/>
    <w:uiPriority w:val="0"/>
    <w:rPr>
      <w:rFonts w:ascii="Calibri" w:hAnsi="Calibri" w:eastAsia="黑体"/>
      <w:bCs/>
      <w:kern w:val="2"/>
      <w:sz w:val="21"/>
      <w:szCs w:val="28"/>
    </w:rPr>
  </w:style>
  <w:style w:type="character" w:customStyle="1" w:styleId="75">
    <w:name w:val="纯文本 Char"/>
    <w:autoRedefine/>
    <w:qFormat/>
    <w:uiPriority w:val="0"/>
    <w:rPr>
      <w:rFonts w:ascii="宋体" w:hAnsi="宋体" w:eastAsia="宋体"/>
      <w:color w:val="000000"/>
      <w:sz w:val="24"/>
      <w:szCs w:val="24"/>
      <w:lang w:val="en-US" w:eastAsia="zh-CN" w:bidi="ar-SA"/>
    </w:rPr>
  </w:style>
  <w:style w:type="paragraph" w:customStyle="1" w:styleId="76">
    <w:name w:val="修订1"/>
    <w:autoRedefine/>
    <w:hidden/>
    <w:semiHidden/>
    <w:qFormat/>
    <w:uiPriority w:val="99"/>
    <w:rPr>
      <w:rFonts w:ascii="Calibri" w:hAnsi="Calibri" w:eastAsia="宋体" w:cs="Times New Roman"/>
      <w:kern w:val="2"/>
      <w:sz w:val="21"/>
      <w:lang w:val="en-US" w:eastAsia="zh-CN" w:bidi="ar-SA"/>
    </w:rPr>
  </w:style>
  <w:style w:type="paragraph" w:customStyle="1" w:styleId="77">
    <w:name w:val="WPSOffice手动目录 1"/>
    <w:autoRedefine/>
    <w:qFormat/>
    <w:uiPriority w:val="0"/>
    <w:rPr>
      <w:rFonts w:ascii="Times New Roman" w:hAnsi="Times New Roman" w:eastAsia="宋体" w:cs="Times New Roman"/>
      <w:lang w:val="en-US" w:eastAsia="zh-CN" w:bidi="ar-SA"/>
    </w:rPr>
  </w:style>
  <w:style w:type="paragraph" w:customStyle="1" w:styleId="78">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79">
    <w:name w:val="修订2"/>
    <w:autoRedefine/>
    <w:hidden/>
    <w:unhideWhenUsed/>
    <w:qFormat/>
    <w:uiPriority w:val="99"/>
    <w:rPr>
      <w:rFonts w:ascii="Calibri" w:hAnsi="Calibri" w:eastAsia="宋体" w:cs="Times New Roman"/>
      <w:kern w:val="2"/>
      <w:sz w:val="21"/>
      <w:lang w:val="en-US" w:eastAsia="zh-CN" w:bidi="ar-SA"/>
    </w:rPr>
  </w:style>
  <w:style w:type="paragraph" w:styleId="80">
    <w:name w:val="List Paragraph"/>
    <w:basedOn w:val="1"/>
    <w:autoRedefine/>
    <w:unhideWhenUsed/>
    <w:qFormat/>
    <w:uiPriority w:val="99"/>
    <w:pPr>
      <w:ind w:firstLine="420" w:firstLineChars="200"/>
    </w:pPr>
  </w:style>
  <w:style w:type="character" w:customStyle="1" w:styleId="81">
    <w:name w:val="新正文收进 字符"/>
    <w:basedOn w:val="50"/>
    <w:link w:val="82"/>
    <w:autoRedefine/>
    <w:qFormat/>
    <w:uiPriority w:val="0"/>
    <w:rPr>
      <w:color w:val="000000" w:themeColor="text1"/>
      <w:szCs w:val="21"/>
      <w14:textFill>
        <w14:solidFill>
          <w14:schemeClr w14:val="tx1"/>
        </w14:solidFill>
      </w14:textFill>
    </w:rPr>
  </w:style>
  <w:style w:type="paragraph" w:customStyle="1" w:styleId="82">
    <w:name w:val="新正文收进"/>
    <w:basedOn w:val="1"/>
    <w:link w:val="81"/>
    <w:autoRedefine/>
    <w:qFormat/>
    <w:uiPriority w:val="0"/>
    <w:pPr>
      <w:ind w:firstLine="200" w:firstLineChars="200"/>
    </w:pPr>
    <w:rPr>
      <w:color w:val="000000" w:themeColor="text1"/>
      <w:szCs w:val="21"/>
      <w14:textFill>
        <w14:solidFill>
          <w14:schemeClr w14:val="tx1"/>
        </w14:solidFill>
      </w14:textFill>
    </w:rPr>
  </w:style>
  <w:style w:type="paragraph" w:customStyle="1" w:styleId="83">
    <w:name w:val="不收进正文"/>
    <w:basedOn w:val="82"/>
    <w:link w:val="85"/>
    <w:autoRedefine/>
    <w:qFormat/>
    <w:uiPriority w:val="0"/>
    <w:pPr>
      <w:ind w:firstLine="0" w:firstLineChars="0"/>
    </w:pPr>
  </w:style>
  <w:style w:type="paragraph" w:customStyle="1" w:styleId="84">
    <w:name w:val="图和表"/>
    <w:basedOn w:val="1"/>
    <w:autoRedefine/>
    <w:qFormat/>
    <w:uiPriority w:val="0"/>
    <w:pPr>
      <w:autoSpaceDE w:val="0"/>
      <w:autoSpaceDN w:val="0"/>
      <w:adjustRightInd w:val="0"/>
      <w:spacing w:line="240" w:lineRule="auto"/>
      <w:jc w:val="center"/>
    </w:pPr>
    <w:rPr>
      <w:rFonts w:eastAsia="黑体" w:cs="黑体"/>
      <w:sz w:val="18"/>
      <w:szCs w:val="18"/>
    </w:rPr>
  </w:style>
  <w:style w:type="character" w:customStyle="1" w:styleId="85">
    <w:name w:val="不收进正文 字符"/>
    <w:basedOn w:val="81"/>
    <w:link w:val="83"/>
    <w:autoRedefine/>
    <w:qFormat/>
    <w:uiPriority w:val="0"/>
  </w:style>
  <w:style w:type="table" w:customStyle="1" w:styleId="86">
    <w:name w:val="网格型1"/>
    <w:basedOn w:val="48"/>
    <w:autoRedefine/>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7">
    <w:name w:val="标准文件_段"/>
    <w:autoRedefine/>
    <w:qFormat/>
    <w:uiPriority w:val="0"/>
    <w:pPr>
      <w:autoSpaceDE w:val="0"/>
      <w:autoSpaceDN w:val="0"/>
      <w:snapToGrid w:val="0"/>
      <w:spacing w:line="360" w:lineRule="auto"/>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6.bin"/><Relationship Id="rId98" Type="http://schemas.openxmlformats.org/officeDocument/2006/relationships/image" Target="media/image45.wmf"/><Relationship Id="rId97" Type="http://schemas.openxmlformats.org/officeDocument/2006/relationships/oleObject" Target="embeddings/oleObject45.bin"/><Relationship Id="rId96" Type="http://schemas.openxmlformats.org/officeDocument/2006/relationships/image" Target="media/image44.wmf"/><Relationship Id="rId95" Type="http://schemas.openxmlformats.org/officeDocument/2006/relationships/oleObject" Target="embeddings/oleObject44.bin"/><Relationship Id="rId94" Type="http://schemas.openxmlformats.org/officeDocument/2006/relationships/image" Target="media/image43.wmf"/><Relationship Id="rId93" Type="http://schemas.openxmlformats.org/officeDocument/2006/relationships/oleObject" Target="embeddings/oleObject43.bin"/><Relationship Id="rId92" Type="http://schemas.openxmlformats.org/officeDocument/2006/relationships/image" Target="media/image42.wmf"/><Relationship Id="rId91" Type="http://schemas.openxmlformats.org/officeDocument/2006/relationships/oleObject" Target="embeddings/oleObject42.bin"/><Relationship Id="rId90" Type="http://schemas.openxmlformats.org/officeDocument/2006/relationships/image" Target="media/image41.wmf"/><Relationship Id="rId9" Type="http://schemas.openxmlformats.org/officeDocument/2006/relationships/oleObject" Target="embeddings/oleObject1.bin"/><Relationship Id="rId89" Type="http://schemas.openxmlformats.org/officeDocument/2006/relationships/image" Target="media/image40.wmf"/><Relationship Id="rId88" Type="http://schemas.openxmlformats.org/officeDocument/2006/relationships/oleObject" Target="embeddings/oleObject41.bin"/><Relationship Id="rId87" Type="http://schemas.openxmlformats.org/officeDocument/2006/relationships/image" Target="media/image39.wmf"/><Relationship Id="rId86" Type="http://schemas.openxmlformats.org/officeDocument/2006/relationships/oleObject" Target="embeddings/oleObject40.bin"/><Relationship Id="rId85" Type="http://schemas.openxmlformats.org/officeDocument/2006/relationships/image" Target="media/image38.wmf"/><Relationship Id="rId84" Type="http://schemas.openxmlformats.org/officeDocument/2006/relationships/oleObject" Target="embeddings/oleObject39.bin"/><Relationship Id="rId83" Type="http://schemas.openxmlformats.org/officeDocument/2006/relationships/image" Target="media/image37.wmf"/><Relationship Id="rId82" Type="http://schemas.openxmlformats.org/officeDocument/2006/relationships/oleObject" Target="embeddings/oleObject38.bin"/><Relationship Id="rId81" Type="http://schemas.openxmlformats.org/officeDocument/2006/relationships/image" Target="media/image36.wmf"/><Relationship Id="rId80" Type="http://schemas.openxmlformats.org/officeDocument/2006/relationships/oleObject" Target="embeddings/oleObject37.bin"/><Relationship Id="rId8" Type="http://schemas.openxmlformats.org/officeDocument/2006/relationships/theme" Target="theme/theme1.xml"/><Relationship Id="rId79" Type="http://schemas.openxmlformats.org/officeDocument/2006/relationships/image" Target="media/image35.wmf"/><Relationship Id="rId78" Type="http://schemas.openxmlformats.org/officeDocument/2006/relationships/oleObject" Target="embeddings/oleObject36.bin"/><Relationship Id="rId77" Type="http://schemas.openxmlformats.org/officeDocument/2006/relationships/image" Target="media/image34.wmf"/><Relationship Id="rId76" Type="http://schemas.openxmlformats.org/officeDocument/2006/relationships/oleObject" Target="embeddings/oleObject35.bin"/><Relationship Id="rId75" Type="http://schemas.openxmlformats.org/officeDocument/2006/relationships/image" Target="media/image33.wmf"/><Relationship Id="rId74" Type="http://schemas.openxmlformats.org/officeDocument/2006/relationships/oleObject" Target="embeddings/oleObject34.bin"/><Relationship Id="rId73" Type="http://schemas.openxmlformats.org/officeDocument/2006/relationships/image" Target="media/image32.wmf"/><Relationship Id="rId72" Type="http://schemas.openxmlformats.org/officeDocument/2006/relationships/oleObject" Target="embeddings/oleObject33.bin"/><Relationship Id="rId71" Type="http://schemas.openxmlformats.org/officeDocument/2006/relationships/image" Target="media/image31.wmf"/><Relationship Id="rId70" Type="http://schemas.openxmlformats.org/officeDocument/2006/relationships/oleObject" Target="embeddings/oleObject32.bin"/><Relationship Id="rId7" Type="http://schemas.openxmlformats.org/officeDocument/2006/relationships/footer" Target="footer5.xml"/><Relationship Id="rId69" Type="http://schemas.openxmlformats.org/officeDocument/2006/relationships/image" Target="media/image30.wmf"/><Relationship Id="rId68" Type="http://schemas.openxmlformats.org/officeDocument/2006/relationships/oleObject" Target="embeddings/oleObject31.bin"/><Relationship Id="rId67" Type="http://schemas.openxmlformats.org/officeDocument/2006/relationships/image" Target="media/image29.wmf"/><Relationship Id="rId66" Type="http://schemas.openxmlformats.org/officeDocument/2006/relationships/oleObject" Target="embeddings/oleObject30.bin"/><Relationship Id="rId65" Type="http://schemas.openxmlformats.org/officeDocument/2006/relationships/image" Target="media/image28.wmf"/><Relationship Id="rId64" Type="http://schemas.openxmlformats.org/officeDocument/2006/relationships/oleObject" Target="embeddings/oleObject29.bin"/><Relationship Id="rId63" Type="http://schemas.openxmlformats.org/officeDocument/2006/relationships/image" Target="media/image27.wmf"/><Relationship Id="rId62" Type="http://schemas.openxmlformats.org/officeDocument/2006/relationships/oleObject" Target="embeddings/oleObject28.bin"/><Relationship Id="rId61" Type="http://schemas.openxmlformats.org/officeDocument/2006/relationships/image" Target="media/image26.wmf"/><Relationship Id="rId60" Type="http://schemas.openxmlformats.org/officeDocument/2006/relationships/oleObject" Target="embeddings/oleObject27.bin"/><Relationship Id="rId6" Type="http://schemas.openxmlformats.org/officeDocument/2006/relationships/footer" Target="footer4.xml"/><Relationship Id="rId59" Type="http://schemas.openxmlformats.org/officeDocument/2006/relationships/image" Target="media/image25.wmf"/><Relationship Id="rId58" Type="http://schemas.openxmlformats.org/officeDocument/2006/relationships/oleObject" Target="embeddings/oleObject26.bin"/><Relationship Id="rId57" Type="http://schemas.openxmlformats.org/officeDocument/2006/relationships/image" Target="media/image24.wmf"/><Relationship Id="rId56" Type="http://schemas.openxmlformats.org/officeDocument/2006/relationships/oleObject" Target="embeddings/oleObject25.bin"/><Relationship Id="rId55" Type="http://schemas.openxmlformats.org/officeDocument/2006/relationships/image" Target="media/image23.wmf"/><Relationship Id="rId54" Type="http://schemas.openxmlformats.org/officeDocument/2006/relationships/oleObject" Target="embeddings/oleObject24.bin"/><Relationship Id="rId53" Type="http://schemas.openxmlformats.org/officeDocument/2006/relationships/image" Target="media/image22.wmf"/><Relationship Id="rId52" Type="http://schemas.openxmlformats.org/officeDocument/2006/relationships/oleObject" Target="embeddings/oleObject23.bin"/><Relationship Id="rId51" Type="http://schemas.openxmlformats.org/officeDocument/2006/relationships/image" Target="media/image21.wmf"/><Relationship Id="rId50" Type="http://schemas.openxmlformats.org/officeDocument/2006/relationships/oleObject" Target="embeddings/oleObject22.bin"/><Relationship Id="rId5" Type="http://schemas.openxmlformats.org/officeDocument/2006/relationships/footer" Target="footer3.xml"/><Relationship Id="rId49" Type="http://schemas.openxmlformats.org/officeDocument/2006/relationships/image" Target="media/image20.wmf"/><Relationship Id="rId48" Type="http://schemas.openxmlformats.org/officeDocument/2006/relationships/oleObject" Target="embeddings/oleObject21.bin"/><Relationship Id="rId47" Type="http://schemas.openxmlformats.org/officeDocument/2006/relationships/image" Target="media/image19.wmf"/><Relationship Id="rId46" Type="http://schemas.openxmlformats.org/officeDocument/2006/relationships/oleObject" Target="embeddings/oleObject20.bin"/><Relationship Id="rId45" Type="http://schemas.openxmlformats.org/officeDocument/2006/relationships/image" Target="media/image18.wmf"/><Relationship Id="rId44" Type="http://schemas.openxmlformats.org/officeDocument/2006/relationships/oleObject" Target="embeddings/oleObject19.bin"/><Relationship Id="rId43" Type="http://schemas.openxmlformats.org/officeDocument/2006/relationships/image" Target="media/image17.wmf"/><Relationship Id="rId42" Type="http://schemas.openxmlformats.org/officeDocument/2006/relationships/oleObject" Target="embeddings/oleObject18.bin"/><Relationship Id="rId41" Type="http://schemas.openxmlformats.org/officeDocument/2006/relationships/image" Target="media/image16.wmf"/><Relationship Id="rId40" Type="http://schemas.openxmlformats.org/officeDocument/2006/relationships/oleObject" Target="embeddings/oleObject17.bin"/><Relationship Id="rId4" Type="http://schemas.openxmlformats.org/officeDocument/2006/relationships/footer" Target="footer2.xml"/><Relationship Id="rId39" Type="http://schemas.openxmlformats.org/officeDocument/2006/relationships/image" Target="media/image15.wmf"/><Relationship Id="rId38" Type="http://schemas.openxmlformats.org/officeDocument/2006/relationships/oleObject" Target="embeddings/oleObject16.bin"/><Relationship Id="rId37" Type="http://schemas.openxmlformats.org/officeDocument/2006/relationships/image" Target="media/image14.wmf"/><Relationship Id="rId36" Type="http://schemas.openxmlformats.org/officeDocument/2006/relationships/oleObject" Target="embeddings/oleObject15.bin"/><Relationship Id="rId35" Type="http://schemas.openxmlformats.org/officeDocument/2006/relationships/image" Target="media/image13.wmf"/><Relationship Id="rId34" Type="http://schemas.openxmlformats.org/officeDocument/2006/relationships/oleObject" Target="embeddings/oleObject14.bin"/><Relationship Id="rId33" Type="http://schemas.openxmlformats.org/officeDocument/2006/relationships/image" Target="media/image12.wmf"/><Relationship Id="rId32" Type="http://schemas.openxmlformats.org/officeDocument/2006/relationships/oleObject" Target="embeddings/oleObject13.bin"/><Relationship Id="rId31" Type="http://schemas.openxmlformats.org/officeDocument/2006/relationships/oleObject" Target="embeddings/oleObject12.bin"/><Relationship Id="rId30" Type="http://schemas.openxmlformats.org/officeDocument/2006/relationships/image" Target="media/image11.wmf"/><Relationship Id="rId3" Type="http://schemas.openxmlformats.org/officeDocument/2006/relationships/footer" Target="footer1.xml"/><Relationship Id="rId29" Type="http://schemas.openxmlformats.org/officeDocument/2006/relationships/oleObject" Target="embeddings/oleObject11.bin"/><Relationship Id="rId28" Type="http://schemas.openxmlformats.org/officeDocument/2006/relationships/image" Target="media/image10.wmf"/><Relationship Id="rId27" Type="http://schemas.openxmlformats.org/officeDocument/2006/relationships/oleObject" Target="embeddings/oleObject10.bin"/><Relationship Id="rId263" Type="http://schemas.openxmlformats.org/officeDocument/2006/relationships/fontTable" Target="fontTable.xml"/><Relationship Id="rId262" Type="http://schemas.openxmlformats.org/officeDocument/2006/relationships/numbering" Target="numbering.xml"/><Relationship Id="rId261" Type="http://schemas.openxmlformats.org/officeDocument/2006/relationships/customXml" Target="../customXml/item1.xml"/><Relationship Id="rId260" Type="http://schemas.openxmlformats.org/officeDocument/2006/relationships/image" Target="media/image123.wmf"/><Relationship Id="rId26" Type="http://schemas.openxmlformats.org/officeDocument/2006/relationships/image" Target="media/image9.wmf"/><Relationship Id="rId259" Type="http://schemas.openxmlformats.org/officeDocument/2006/relationships/oleObject" Target="embeddings/oleObject129.bin"/><Relationship Id="rId258" Type="http://schemas.openxmlformats.org/officeDocument/2006/relationships/image" Target="media/image122.wmf"/><Relationship Id="rId257" Type="http://schemas.openxmlformats.org/officeDocument/2006/relationships/oleObject" Target="embeddings/oleObject128.bin"/><Relationship Id="rId256" Type="http://schemas.openxmlformats.org/officeDocument/2006/relationships/image" Target="media/image121.wmf"/><Relationship Id="rId255" Type="http://schemas.openxmlformats.org/officeDocument/2006/relationships/oleObject" Target="embeddings/oleObject127.bin"/><Relationship Id="rId254" Type="http://schemas.openxmlformats.org/officeDocument/2006/relationships/image" Target="media/image120.wmf"/><Relationship Id="rId253" Type="http://schemas.openxmlformats.org/officeDocument/2006/relationships/oleObject" Target="embeddings/oleObject126.bin"/><Relationship Id="rId252" Type="http://schemas.openxmlformats.org/officeDocument/2006/relationships/oleObject" Target="embeddings/oleObject125.bin"/><Relationship Id="rId251" Type="http://schemas.openxmlformats.org/officeDocument/2006/relationships/image" Target="media/image119.wmf"/><Relationship Id="rId250" Type="http://schemas.openxmlformats.org/officeDocument/2006/relationships/oleObject" Target="embeddings/oleObject124.bin"/><Relationship Id="rId25" Type="http://schemas.openxmlformats.org/officeDocument/2006/relationships/oleObject" Target="embeddings/oleObject9.bin"/><Relationship Id="rId249" Type="http://schemas.openxmlformats.org/officeDocument/2006/relationships/image" Target="media/image118.wmf"/><Relationship Id="rId248" Type="http://schemas.openxmlformats.org/officeDocument/2006/relationships/oleObject" Target="embeddings/oleObject123.bin"/><Relationship Id="rId247" Type="http://schemas.openxmlformats.org/officeDocument/2006/relationships/image" Target="media/image117.wmf"/><Relationship Id="rId246" Type="http://schemas.openxmlformats.org/officeDocument/2006/relationships/oleObject" Target="embeddings/oleObject122.bin"/><Relationship Id="rId245" Type="http://schemas.openxmlformats.org/officeDocument/2006/relationships/image" Target="media/image116.wmf"/><Relationship Id="rId244" Type="http://schemas.openxmlformats.org/officeDocument/2006/relationships/oleObject" Target="embeddings/oleObject121.bin"/><Relationship Id="rId243" Type="http://schemas.openxmlformats.org/officeDocument/2006/relationships/image" Target="media/image115.wmf"/><Relationship Id="rId242" Type="http://schemas.openxmlformats.org/officeDocument/2006/relationships/oleObject" Target="embeddings/oleObject120.bin"/><Relationship Id="rId241" Type="http://schemas.openxmlformats.org/officeDocument/2006/relationships/image" Target="media/image114.wmf"/><Relationship Id="rId240" Type="http://schemas.openxmlformats.org/officeDocument/2006/relationships/oleObject" Target="embeddings/oleObject119.bin"/><Relationship Id="rId24" Type="http://schemas.openxmlformats.org/officeDocument/2006/relationships/image" Target="media/image8.wmf"/><Relationship Id="rId239" Type="http://schemas.openxmlformats.org/officeDocument/2006/relationships/image" Target="media/image113.wmf"/><Relationship Id="rId238" Type="http://schemas.openxmlformats.org/officeDocument/2006/relationships/oleObject" Target="embeddings/oleObject118.bin"/><Relationship Id="rId237" Type="http://schemas.openxmlformats.org/officeDocument/2006/relationships/image" Target="media/image112.wmf"/><Relationship Id="rId236" Type="http://schemas.openxmlformats.org/officeDocument/2006/relationships/oleObject" Target="embeddings/oleObject117.bin"/><Relationship Id="rId235" Type="http://schemas.openxmlformats.org/officeDocument/2006/relationships/oleObject" Target="embeddings/oleObject116.bin"/><Relationship Id="rId234" Type="http://schemas.openxmlformats.org/officeDocument/2006/relationships/image" Target="media/image111.wmf"/><Relationship Id="rId233" Type="http://schemas.openxmlformats.org/officeDocument/2006/relationships/oleObject" Target="embeddings/oleObject115.bin"/><Relationship Id="rId232" Type="http://schemas.openxmlformats.org/officeDocument/2006/relationships/image" Target="media/image110.wmf"/><Relationship Id="rId231" Type="http://schemas.openxmlformats.org/officeDocument/2006/relationships/oleObject" Target="embeddings/oleObject114.bin"/><Relationship Id="rId230" Type="http://schemas.openxmlformats.org/officeDocument/2006/relationships/image" Target="media/image109.wmf"/><Relationship Id="rId23" Type="http://schemas.openxmlformats.org/officeDocument/2006/relationships/oleObject" Target="embeddings/oleObject8.bin"/><Relationship Id="rId229" Type="http://schemas.openxmlformats.org/officeDocument/2006/relationships/oleObject" Target="embeddings/oleObject113.bin"/><Relationship Id="rId228" Type="http://schemas.openxmlformats.org/officeDocument/2006/relationships/image" Target="media/image108.wmf"/><Relationship Id="rId227" Type="http://schemas.openxmlformats.org/officeDocument/2006/relationships/oleObject" Target="embeddings/oleObject112.bin"/><Relationship Id="rId226" Type="http://schemas.openxmlformats.org/officeDocument/2006/relationships/image" Target="media/image107.wmf"/><Relationship Id="rId225" Type="http://schemas.openxmlformats.org/officeDocument/2006/relationships/oleObject" Target="embeddings/oleObject111.bin"/><Relationship Id="rId224" Type="http://schemas.openxmlformats.org/officeDocument/2006/relationships/image" Target="media/image106.wmf"/><Relationship Id="rId223" Type="http://schemas.openxmlformats.org/officeDocument/2006/relationships/oleObject" Target="embeddings/oleObject110.bin"/><Relationship Id="rId222" Type="http://schemas.openxmlformats.org/officeDocument/2006/relationships/image" Target="media/image105.wmf"/><Relationship Id="rId221" Type="http://schemas.openxmlformats.org/officeDocument/2006/relationships/oleObject" Target="embeddings/oleObject109.bin"/><Relationship Id="rId220" Type="http://schemas.openxmlformats.org/officeDocument/2006/relationships/image" Target="media/image104.wmf"/><Relationship Id="rId22" Type="http://schemas.openxmlformats.org/officeDocument/2006/relationships/image" Target="media/image7.wmf"/><Relationship Id="rId219" Type="http://schemas.openxmlformats.org/officeDocument/2006/relationships/oleObject" Target="embeddings/oleObject108.bin"/><Relationship Id="rId218" Type="http://schemas.openxmlformats.org/officeDocument/2006/relationships/image" Target="media/image103.wmf"/><Relationship Id="rId217" Type="http://schemas.openxmlformats.org/officeDocument/2006/relationships/oleObject" Target="embeddings/oleObject107.bin"/><Relationship Id="rId216" Type="http://schemas.openxmlformats.org/officeDocument/2006/relationships/image" Target="media/image102.wmf"/><Relationship Id="rId215" Type="http://schemas.openxmlformats.org/officeDocument/2006/relationships/oleObject" Target="embeddings/oleObject106.bin"/><Relationship Id="rId214" Type="http://schemas.openxmlformats.org/officeDocument/2006/relationships/image" Target="media/image101.wmf"/><Relationship Id="rId213" Type="http://schemas.openxmlformats.org/officeDocument/2006/relationships/oleObject" Target="embeddings/oleObject105.bin"/><Relationship Id="rId212" Type="http://schemas.openxmlformats.org/officeDocument/2006/relationships/image" Target="media/image100.wmf"/><Relationship Id="rId211" Type="http://schemas.openxmlformats.org/officeDocument/2006/relationships/oleObject" Target="embeddings/oleObject104.bin"/><Relationship Id="rId210" Type="http://schemas.openxmlformats.org/officeDocument/2006/relationships/image" Target="media/image99.wmf"/><Relationship Id="rId21" Type="http://schemas.openxmlformats.org/officeDocument/2006/relationships/oleObject" Target="embeddings/oleObject7.bin"/><Relationship Id="rId209" Type="http://schemas.openxmlformats.org/officeDocument/2006/relationships/oleObject" Target="embeddings/oleObject103.bin"/><Relationship Id="rId208" Type="http://schemas.openxmlformats.org/officeDocument/2006/relationships/image" Target="media/image98.wmf"/><Relationship Id="rId207" Type="http://schemas.openxmlformats.org/officeDocument/2006/relationships/oleObject" Target="embeddings/oleObject102.bin"/><Relationship Id="rId206" Type="http://schemas.openxmlformats.org/officeDocument/2006/relationships/image" Target="media/image97.wmf"/><Relationship Id="rId205" Type="http://schemas.openxmlformats.org/officeDocument/2006/relationships/oleObject" Target="embeddings/oleObject101.bin"/><Relationship Id="rId204" Type="http://schemas.openxmlformats.org/officeDocument/2006/relationships/image" Target="media/image96.wmf"/><Relationship Id="rId203" Type="http://schemas.openxmlformats.org/officeDocument/2006/relationships/oleObject" Target="embeddings/oleObject100.bin"/><Relationship Id="rId202" Type="http://schemas.openxmlformats.org/officeDocument/2006/relationships/image" Target="media/image95.wmf"/><Relationship Id="rId201" Type="http://schemas.openxmlformats.org/officeDocument/2006/relationships/oleObject" Target="embeddings/oleObject99.bin"/><Relationship Id="rId200" Type="http://schemas.openxmlformats.org/officeDocument/2006/relationships/image" Target="media/image94.wmf"/><Relationship Id="rId20" Type="http://schemas.openxmlformats.org/officeDocument/2006/relationships/image" Target="media/image6.wmf"/><Relationship Id="rId2" Type="http://schemas.openxmlformats.org/officeDocument/2006/relationships/settings" Target="settings.xml"/><Relationship Id="rId199" Type="http://schemas.openxmlformats.org/officeDocument/2006/relationships/oleObject" Target="embeddings/oleObject98.bin"/><Relationship Id="rId198" Type="http://schemas.openxmlformats.org/officeDocument/2006/relationships/image" Target="media/image93.wmf"/><Relationship Id="rId197" Type="http://schemas.openxmlformats.org/officeDocument/2006/relationships/oleObject" Target="embeddings/oleObject97.bin"/><Relationship Id="rId196" Type="http://schemas.openxmlformats.org/officeDocument/2006/relationships/image" Target="media/image92.wmf"/><Relationship Id="rId195" Type="http://schemas.openxmlformats.org/officeDocument/2006/relationships/oleObject" Target="embeddings/oleObject96.bin"/><Relationship Id="rId194" Type="http://schemas.openxmlformats.org/officeDocument/2006/relationships/image" Target="media/image91.wmf"/><Relationship Id="rId193" Type="http://schemas.openxmlformats.org/officeDocument/2006/relationships/oleObject" Target="embeddings/oleObject95.bin"/><Relationship Id="rId192" Type="http://schemas.openxmlformats.org/officeDocument/2006/relationships/image" Target="media/image90.wmf"/><Relationship Id="rId191" Type="http://schemas.openxmlformats.org/officeDocument/2006/relationships/oleObject" Target="embeddings/oleObject94.bin"/><Relationship Id="rId190" Type="http://schemas.openxmlformats.org/officeDocument/2006/relationships/image" Target="media/image89.wmf"/><Relationship Id="rId19" Type="http://schemas.openxmlformats.org/officeDocument/2006/relationships/oleObject" Target="embeddings/oleObject6.bin"/><Relationship Id="rId189" Type="http://schemas.openxmlformats.org/officeDocument/2006/relationships/oleObject" Target="embeddings/oleObject93.bin"/><Relationship Id="rId188" Type="http://schemas.openxmlformats.org/officeDocument/2006/relationships/image" Target="media/image88.wmf"/><Relationship Id="rId187" Type="http://schemas.openxmlformats.org/officeDocument/2006/relationships/oleObject" Target="embeddings/oleObject92.bin"/><Relationship Id="rId186" Type="http://schemas.openxmlformats.org/officeDocument/2006/relationships/image" Target="media/image87.wmf"/><Relationship Id="rId185" Type="http://schemas.openxmlformats.org/officeDocument/2006/relationships/oleObject" Target="embeddings/oleObject91.bin"/><Relationship Id="rId184" Type="http://schemas.openxmlformats.org/officeDocument/2006/relationships/image" Target="media/image86.wmf"/><Relationship Id="rId183" Type="http://schemas.openxmlformats.org/officeDocument/2006/relationships/oleObject" Target="embeddings/oleObject90.bin"/><Relationship Id="rId182" Type="http://schemas.openxmlformats.org/officeDocument/2006/relationships/image" Target="media/image85.wmf"/><Relationship Id="rId181" Type="http://schemas.openxmlformats.org/officeDocument/2006/relationships/oleObject" Target="embeddings/oleObject89.bin"/><Relationship Id="rId180" Type="http://schemas.openxmlformats.org/officeDocument/2006/relationships/image" Target="media/image84.wmf"/><Relationship Id="rId18" Type="http://schemas.openxmlformats.org/officeDocument/2006/relationships/image" Target="media/image5.wmf"/><Relationship Id="rId179" Type="http://schemas.openxmlformats.org/officeDocument/2006/relationships/oleObject" Target="embeddings/oleObject88.bin"/><Relationship Id="rId178" Type="http://schemas.openxmlformats.org/officeDocument/2006/relationships/image" Target="media/image83.wmf"/><Relationship Id="rId177" Type="http://schemas.openxmlformats.org/officeDocument/2006/relationships/oleObject" Target="embeddings/oleObject87.bin"/><Relationship Id="rId176" Type="http://schemas.openxmlformats.org/officeDocument/2006/relationships/image" Target="media/image82.wmf"/><Relationship Id="rId175" Type="http://schemas.openxmlformats.org/officeDocument/2006/relationships/oleObject" Target="embeddings/oleObject86.bin"/><Relationship Id="rId174" Type="http://schemas.openxmlformats.org/officeDocument/2006/relationships/image" Target="media/image81.wmf"/><Relationship Id="rId173" Type="http://schemas.openxmlformats.org/officeDocument/2006/relationships/oleObject" Target="embeddings/oleObject85.bin"/><Relationship Id="rId172" Type="http://schemas.openxmlformats.org/officeDocument/2006/relationships/image" Target="media/image80.wmf"/><Relationship Id="rId171" Type="http://schemas.openxmlformats.org/officeDocument/2006/relationships/oleObject" Target="embeddings/oleObject84.bin"/><Relationship Id="rId170" Type="http://schemas.openxmlformats.org/officeDocument/2006/relationships/image" Target="media/image79.wmf"/><Relationship Id="rId17" Type="http://schemas.openxmlformats.org/officeDocument/2006/relationships/oleObject" Target="embeddings/oleObject5.bin"/><Relationship Id="rId169" Type="http://schemas.openxmlformats.org/officeDocument/2006/relationships/oleObject" Target="embeddings/oleObject83.bin"/><Relationship Id="rId168" Type="http://schemas.openxmlformats.org/officeDocument/2006/relationships/image" Target="media/image78.wmf"/><Relationship Id="rId167" Type="http://schemas.openxmlformats.org/officeDocument/2006/relationships/oleObject" Target="embeddings/oleObject82.bin"/><Relationship Id="rId166" Type="http://schemas.openxmlformats.org/officeDocument/2006/relationships/image" Target="media/image77.wmf"/><Relationship Id="rId165" Type="http://schemas.openxmlformats.org/officeDocument/2006/relationships/oleObject" Target="embeddings/oleObject81.bin"/><Relationship Id="rId164" Type="http://schemas.openxmlformats.org/officeDocument/2006/relationships/image" Target="media/image76.wmf"/><Relationship Id="rId163" Type="http://schemas.openxmlformats.org/officeDocument/2006/relationships/oleObject" Target="embeddings/oleObject80.bin"/><Relationship Id="rId162" Type="http://schemas.openxmlformats.org/officeDocument/2006/relationships/image" Target="media/image75.wmf"/><Relationship Id="rId161" Type="http://schemas.openxmlformats.org/officeDocument/2006/relationships/oleObject" Target="embeddings/oleObject79.bin"/><Relationship Id="rId160" Type="http://schemas.openxmlformats.org/officeDocument/2006/relationships/image" Target="media/image74.wmf"/><Relationship Id="rId16" Type="http://schemas.openxmlformats.org/officeDocument/2006/relationships/image" Target="media/image4.wmf"/><Relationship Id="rId159" Type="http://schemas.openxmlformats.org/officeDocument/2006/relationships/oleObject" Target="embeddings/oleObject78.bin"/><Relationship Id="rId158" Type="http://schemas.openxmlformats.org/officeDocument/2006/relationships/image" Target="media/image73.wmf"/><Relationship Id="rId157" Type="http://schemas.openxmlformats.org/officeDocument/2006/relationships/oleObject" Target="embeddings/oleObject77.bin"/><Relationship Id="rId156" Type="http://schemas.openxmlformats.org/officeDocument/2006/relationships/image" Target="media/image72.wmf"/><Relationship Id="rId155" Type="http://schemas.openxmlformats.org/officeDocument/2006/relationships/oleObject" Target="embeddings/oleObject76.bin"/><Relationship Id="rId154" Type="http://schemas.openxmlformats.org/officeDocument/2006/relationships/image" Target="media/image71.wmf"/><Relationship Id="rId153" Type="http://schemas.openxmlformats.org/officeDocument/2006/relationships/oleObject" Target="embeddings/oleObject75.bin"/><Relationship Id="rId152" Type="http://schemas.openxmlformats.org/officeDocument/2006/relationships/image" Target="media/image70.wmf"/><Relationship Id="rId151" Type="http://schemas.openxmlformats.org/officeDocument/2006/relationships/oleObject" Target="embeddings/oleObject74.bin"/><Relationship Id="rId150" Type="http://schemas.openxmlformats.org/officeDocument/2006/relationships/image" Target="media/image69.wmf"/><Relationship Id="rId15" Type="http://schemas.openxmlformats.org/officeDocument/2006/relationships/oleObject" Target="embeddings/oleObject4.bin"/><Relationship Id="rId149" Type="http://schemas.openxmlformats.org/officeDocument/2006/relationships/oleObject" Target="embeddings/oleObject73.bin"/><Relationship Id="rId148" Type="http://schemas.openxmlformats.org/officeDocument/2006/relationships/image" Target="media/image68.wmf"/><Relationship Id="rId147" Type="http://schemas.openxmlformats.org/officeDocument/2006/relationships/oleObject" Target="embeddings/oleObject72.bin"/><Relationship Id="rId146" Type="http://schemas.openxmlformats.org/officeDocument/2006/relationships/image" Target="media/image67.wmf"/><Relationship Id="rId145" Type="http://schemas.openxmlformats.org/officeDocument/2006/relationships/oleObject" Target="embeddings/oleObject71.bin"/><Relationship Id="rId144" Type="http://schemas.openxmlformats.org/officeDocument/2006/relationships/image" Target="media/image66.wmf"/><Relationship Id="rId143" Type="http://schemas.openxmlformats.org/officeDocument/2006/relationships/oleObject" Target="embeddings/oleObject70.bin"/><Relationship Id="rId142" Type="http://schemas.openxmlformats.org/officeDocument/2006/relationships/image" Target="media/image65.wmf"/><Relationship Id="rId141" Type="http://schemas.openxmlformats.org/officeDocument/2006/relationships/oleObject" Target="embeddings/oleObject69.bin"/><Relationship Id="rId140" Type="http://schemas.openxmlformats.org/officeDocument/2006/relationships/image" Target="media/image64.wmf"/><Relationship Id="rId14" Type="http://schemas.openxmlformats.org/officeDocument/2006/relationships/image" Target="media/image3.wmf"/><Relationship Id="rId139" Type="http://schemas.openxmlformats.org/officeDocument/2006/relationships/oleObject" Target="embeddings/oleObject68.bin"/><Relationship Id="rId138" Type="http://schemas.openxmlformats.org/officeDocument/2006/relationships/image" Target="media/image63.wmf"/><Relationship Id="rId137" Type="http://schemas.openxmlformats.org/officeDocument/2006/relationships/oleObject" Target="embeddings/oleObject67.bin"/><Relationship Id="rId136" Type="http://schemas.openxmlformats.org/officeDocument/2006/relationships/image" Target="media/image62.wmf"/><Relationship Id="rId135" Type="http://schemas.openxmlformats.org/officeDocument/2006/relationships/oleObject" Target="embeddings/oleObject66.bin"/><Relationship Id="rId134" Type="http://schemas.openxmlformats.org/officeDocument/2006/relationships/oleObject" Target="embeddings/oleObject65.bin"/><Relationship Id="rId133" Type="http://schemas.openxmlformats.org/officeDocument/2006/relationships/image" Target="media/image61.wmf"/><Relationship Id="rId132" Type="http://schemas.openxmlformats.org/officeDocument/2006/relationships/oleObject" Target="embeddings/oleObject64.bin"/><Relationship Id="rId131" Type="http://schemas.openxmlformats.org/officeDocument/2006/relationships/image" Target="media/image60.wmf"/><Relationship Id="rId130" Type="http://schemas.openxmlformats.org/officeDocument/2006/relationships/oleObject" Target="embeddings/oleObject63.bin"/><Relationship Id="rId13" Type="http://schemas.openxmlformats.org/officeDocument/2006/relationships/oleObject" Target="embeddings/oleObject3.bin"/><Relationship Id="rId129" Type="http://schemas.openxmlformats.org/officeDocument/2006/relationships/image" Target="media/image59.wmf"/><Relationship Id="rId128" Type="http://schemas.openxmlformats.org/officeDocument/2006/relationships/oleObject" Target="embeddings/oleObject62.bin"/><Relationship Id="rId127" Type="http://schemas.openxmlformats.org/officeDocument/2006/relationships/image" Target="media/image58.wmf"/><Relationship Id="rId126" Type="http://schemas.openxmlformats.org/officeDocument/2006/relationships/oleObject" Target="embeddings/oleObject61.bin"/><Relationship Id="rId125" Type="http://schemas.openxmlformats.org/officeDocument/2006/relationships/image" Target="media/image57.wmf"/><Relationship Id="rId124" Type="http://schemas.openxmlformats.org/officeDocument/2006/relationships/oleObject" Target="embeddings/oleObject60.bin"/><Relationship Id="rId123" Type="http://schemas.openxmlformats.org/officeDocument/2006/relationships/image" Target="media/image56.wmf"/><Relationship Id="rId122" Type="http://schemas.openxmlformats.org/officeDocument/2006/relationships/oleObject" Target="embeddings/oleObject59.bin"/><Relationship Id="rId121" Type="http://schemas.openxmlformats.org/officeDocument/2006/relationships/image" Target="media/image55.wmf"/><Relationship Id="rId120" Type="http://schemas.openxmlformats.org/officeDocument/2006/relationships/oleObject" Target="embeddings/oleObject58.bin"/><Relationship Id="rId12" Type="http://schemas.openxmlformats.org/officeDocument/2006/relationships/image" Target="media/image2.wmf"/><Relationship Id="rId119" Type="http://schemas.openxmlformats.org/officeDocument/2006/relationships/image" Target="media/image54.wmf"/><Relationship Id="rId118" Type="http://schemas.openxmlformats.org/officeDocument/2006/relationships/oleObject" Target="embeddings/oleObject57.bin"/><Relationship Id="rId117" Type="http://schemas.openxmlformats.org/officeDocument/2006/relationships/image" Target="media/image53.wmf"/><Relationship Id="rId116" Type="http://schemas.openxmlformats.org/officeDocument/2006/relationships/oleObject" Target="embeddings/oleObject56.bin"/><Relationship Id="rId115" Type="http://schemas.openxmlformats.org/officeDocument/2006/relationships/image" Target="media/image52.wmf"/><Relationship Id="rId114" Type="http://schemas.openxmlformats.org/officeDocument/2006/relationships/oleObject" Target="embeddings/oleObject55.bin"/><Relationship Id="rId113" Type="http://schemas.openxmlformats.org/officeDocument/2006/relationships/oleObject" Target="embeddings/oleObject54.bin"/><Relationship Id="rId112" Type="http://schemas.openxmlformats.org/officeDocument/2006/relationships/oleObject" Target="embeddings/oleObject53.bin"/><Relationship Id="rId111" Type="http://schemas.openxmlformats.org/officeDocument/2006/relationships/image" Target="media/image51.wmf"/><Relationship Id="rId110" Type="http://schemas.openxmlformats.org/officeDocument/2006/relationships/oleObject" Target="embeddings/oleObject52.bin"/><Relationship Id="rId11" Type="http://schemas.openxmlformats.org/officeDocument/2006/relationships/oleObject" Target="embeddings/oleObject2.bin"/><Relationship Id="rId109" Type="http://schemas.openxmlformats.org/officeDocument/2006/relationships/image" Target="media/image50.wmf"/><Relationship Id="rId108" Type="http://schemas.openxmlformats.org/officeDocument/2006/relationships/oleObject" Target="embeddings/oleObject51.bin"/><Relationship Id="rId107" Type="http://schemas.openxmlformats.org/officeDocument/2006/relationships/oleObject" Target="embeddings/oleObject50.bin"/><Relationship Id="rId106" Type="http://schemas.openxmlformats.org/officeDocument/2006/relationships/image" Target="media/image49.wmf"/><Relationship Id="rId105" Type="http://schemas.openxmlformats.org/officeDocument/2006/relationships/oleObject" Target="embeddings/oleObject49.bin"/><Relationship Id="rId104" Type="http://schemas.openxmlformats.org/officeDocument/2006/relationships/image" Target="media/image48.wmf"/><Relationship Id="rId103" Type="http://schemas.openxmlformats.org/officeDocument/2006/relationships/oleObject" Target="embeddings/oleObject48.bin"/><Relationship Id="rId102" Type="http://schemas.openxmlformats.org/officeDocument/2006/relationships/image" Target="media/image47.wmf"/><Relationship Id="rId101" Type="http://schemas.openxmlformats.org/officeDocument/2006/relationships/oleObject" Target="embeddings/oleObject47.bin"/><Relationship Id="rId100" Type="http://schemas.openxmlformats.org/officeDocument/2006/relationships/image" Target="media/image46.wmf"/><Relationship Id="rId10" Type="http://schemas.openxmlformats.org/officeDocument/2006/relationships/image" Target="media/image1.w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72</Pages>
  <Words>5357</Words>
  <Characters>6275</Characters>
  <Lines>909</Lines>
  <Paragraphs>256</Paragraphs>
  <TotalTime>7</TotalTime>
  <ScaleCrop>false</ScaleCrop>
  <LinksUpToDate>false</LinksUpToDate>
  <CharactersWithSpaces>6892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2022-06-19T08:12:00Z</dcterms:created>
  <dc:creator>微软用户</dc:creator>
  <cp:lastModifiedBy>刘琪</cp:lastModifiedBy>
  <cp:lastPrinted>2024-10-26T09:33:00Z</cp:lastPrinted>
  <dcterms:modified xsi:type="dcterms:W3CDTF">2025-04-01T03:15:25Z</dcterms:modified>
  <dc:title>1  总  则</dc:title>
  <cp:revision>253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1F894FF9A37C4F74ADB007042BD5BE91_13</vt:lpwstr>
  </property>
  <property fmtid="{D5CDD505-2E9C-101B-9397-08002B2CF9AE}" pid="4" name="KSOTemplateDocerSaveRecord">
    <vt:lpwstr>eyJoZGlkIjoiOTljMzA5YWQxODQyMTFmY2UzMjYxNDEyZjczMDY3ZmQiLCJ1c2VySWQiOiI3MzkxNjUwMzUifQ==</vt:lpwstr>
  </property>
</Properties>
</file>