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exact"/>
        <w:rPr>
          <w:rFonts w:ascii="仿宋" w:hAnsi="仿宋" w:eastAsia="仿宋"/>
          <w:color w:val="auto"/>
          <w:sz w:val="28"/>
          <w:szCs w:val="28"/>
        </w:rPr>
      </w:pPr>
      <w:bookmarkStart w:id="0" w:name="_Toc7904"/>
    </w:p>
    <w:p>
      <w:pPr>
        <w:snapToGrid w:val="0"/>
        <w:spacing w:line="360" w:lineRule="exact"/>
        <w:rPr>
          <w:rFonts w:ascii="宋体" w:hAnsi="宋体"/>
          <w:b/>
          <w:color w:val="auto"/>
        </w:rPr>
      </w:pPr>
      <w:r>
        <w:rPr>
          <w:rFonts w:hint="eastAsia" w:ascii="宋体" w:hAnsi="宋体"/>
          <w:b/>
          <w:color w:val="auto"/>
        </w:rPr>
        <w:t>国际标准分类号ICS</w:t>
      </w:r>
    </w:p>
    <w:p>
      <w:pPr>
        <w:tabs>
          <w:tab w:val="left" w:pos="7455"/>
        </w:tabs>
        <w:snapToGrid w:val="0"/>
        <w:spacing w:line="360" w:lineRule="exact"/>
        <w:rPr>
          <w:rFonts w:ascii="宋体" w:hAnsi="宋体"/>
          <w:b/>
          <w:color w:val="auto"/>
        </w:rPr>
      </w:pPr>
      <w:r>
        <w:rPr>
          <w:rFonts w:ascii="宋体" w:hAnsi="宋体"/>
          <w:b/>
          <w:color w:val="auto"/>
        </w:rPr>
        <w:t>中国标准文献分类号CCS</w:t>
      </w:r>
    </w:p>
    <w:p>
      <w:pPr>
        <w:snapToGrid w:val="0"/>
        <w:spacing w:before="312" w:beforeLines="100" w:after="156" w:afterLines="50"/>
        <w:jc w:val="center"/>
        <w:rPr>
          <w:rFonts w:ascii="黑体" w:hAnsi="黑体" w:eastAsia="黑体"/>
          <w:b/>
          <w:color w:val="auto"/>
          <w:sz w:val="48"/>
          <w:szCs w:val="48"/>
        </w:rPr>
      </w:pPr>
      <w:r>
        <w:rPr>
          <w:rFonts w:hint="eastAsia" w:ascii="黑体" w:hAnsi="黑体" w:eastAsia="黑体"/>
          <w:b/>
          <w:color w:val="auto"/>
          <w:sz w:val="48"/>
          <w:szCs w:val="48"/>
        </w:rPr>
        <w:t>中国石油和化工勘察设计协会团体标准</w:t>
      </w:r>
    </w:p>
    <w:p>
      <w:pPr>
        <w:tabs>
          <w:tab w:val="left" w:pos="9027"/>
        </w:tabs>
        <w:ind w:right="-2" w:rightChars="-1"/>
        <w:jc w:val="right"/>
        <w:rPr>
          <w:rFonts w:hint="eastAsia" w:ascii="Arial" w:hAnsi="Arial" w:cs="Arial"/>
          <w:b/>
          <w:color w:val="auto"/>
          <w:sz w:val="32"/>
          <w:szCs w:val="32"/>
        </w:rPr>
      </w:pPr>
      <w:r>
        <w:rPr>
          <w:rFonts w:hint="eastAsia" w:ascii="Arial" w:hAnsi="Arial" w:cs="Arial"/>
          <w:b/>
          <w:color w:val="auto"/>
          <w:sz w:val="32"/>
          <w:szCs w:val="32"/>
        </w:rPr>
        <mc:AlternateContent>
          <mc:Choice Requires="wps">
            <w:drawing>
              <wp:anchor distT="0" distB="0" distL="114300" distR="114300" simplePos="0" relativeHeight="251665408" behindDoc="0" locked="0" layoutInCell="1" allowOverlap="1">
                <wp:simplePos x="0" y="0"/>
                <wp:positionH relativeFrom="column">
                  <wp:posOffset>-55880</wp:posOffset>
                </wp:positionH>
                <wp:positionV relativeFrom="paragraph">
                  <wp:posOffset>379730</wp:posOffset>
                </wp:positionV>
                <wp:extent cx="5579745" cy="0"/>
                <wp:effectExtent l="0" t="9525" r="1905" b="952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flipH="1" flipV="1">
                          <a:off x="0" y="0"/>
                          <a:ext cx="5579745"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flip:x y;margin-left:-4.4pt;margin-top:29.9pt;height:0pt;width:439.35pt;z-index:251665408;mso-width-relative:page;mso-height-relative:page;" filled="f" stroked="t" coordsize="21600,21600" o:gfxdata="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Yf6E7VAAAACAEAAA8AAAAAAAAAAQAg&#10;AAAAIgAAAGRycy9kb3ducmV2LnhtbFBLAQIUABQAAAAIAIdO4kBlBVSX2AEAAH8DAAAOAAAAAAAA&#10;AAEAIAAAACQBAABkcnMvZTJvRG9jLnhtbFBLBQYAAAAABgAGAFkBAABuBQAAAAA=&#10;">
                <v:fill on="f" focussize="0,0"/>
                <v:stroke weight="1.5pt" color="#000000" joinstyle="round"/>
                <v:imagedata o:title=""/>
                <o:lock v:ext="edit" aspectratio="f"/>
              </v:line>
            </w:pict>
          </mc:Fallback>
        </mc:AlternateContent>
      </w:r>
      <w:r>
        <w:rPr>
          <w:rFonts w:hint="eastAsia" w:ascii="Arial" w:hAnsi="Arial" w:cs="Arial"/>
          <w:b/>
          <w:color w:val="auto"/>
          <w:sz w:val="32"/>
          <w:szCs w:val="32"/>
        </w:rPr>
        <w:t>T/HGJ 14862-YYYY</w:t>
      </w:r>
    </w:p>
    <w:p>
      <w:pPr>
        <w:tabs>
          <w:tab w:val="left" w:pos="9027"/>
        </w:tabs>
        <w:ind w:right="-2" w:rightChars="-1"/>
        <w:jc w:val="right"/>
        <w:rPr>
          <w:b/>
          <w:color w:val="auto"/>
          <w:sz w:val="32"/>
          <w:szCs w:val="32"/>
        </w:rPr>
      </w:pPr>
    </w:p>
    <w:p>
      <w:pPr>
        <w:snapToGrid w:val="0"/>
        <w:spacing w:before="624" w:beforeLines="200" w:line="240" w:lineRule="auto"/>
        <w:jc w:val="center"/>
        <w:rPr>
          <w:rFonts w:hint="eastAsia"/>
          <w:b/>
          <w:color w:val="auto"/>
          <w:sz w:val="44"/>
          <w:szCs w:val="44"/>
        </w:rPr>
      </w:pPr>
      <w:r>
        <w:rPr>
          <w:rFonts w:hint="eastAsia"/>
          <w:b/>
          <w:color w:val="auto"/>
          <w:sz w:val="44"/>
          <w:szCs w:val="44"/>
          <w:lang w:val="en-US" w:eastAsia="zh-CN"/>
        </w:rPr>
        <w:t>石油化工企业雷电预警系统设计规范</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color w:val="auto"/>
          <w:sz w:val="44"/>
          <w:szCs w:val="44"/>
        </w:rPr>
      </w:pPr>
    </w:p>
    <w:p>
      <w:pPr>
        <w:snapToGrid w:val="0"/>
        <w:spacing w:before="624" w:beforeLines="200" w:after="100" w:afterAutospacing="1"/>
        <w:jc w:val="center"/>
        <w:rPr>
          <w:rFonts w:ascii="Times New Roman" w:hAnsi="Times New Roman" w:cs="Times New Roman"/>
          <w:b/>
          <w:color w:val="auto"/>
          <w:sz w:val="32"/>
          <w:szCs w:val="32"/>
        </w:rPr>
      </w:pPr>
      <w:bookmarkStart w:id="1" w:name="_Hlk167189800"/>
      <w:r>
        <w:rPr>
          <w:rFonts w:ascii="Times New Roman" w:hAnsi="Times New Roman" w:cs="Times New Roman"/>
          <w:b/>
          <w:color w:val="auto"/>
          <w:sz w:val="32"/>
          <w:szCs w:val="32"/>
        </w:rPr>
        <w:t>Design specifcation for the lightning casting and warning system of petroleum and</w:t>
      </w:r>
      <w:r>
        <w:rPr>
          <w:rFonts w:hint="eastAsia" w:ascii="Times New Roman" w:hAnsi="Times New Roman" w:cs="Times New Roman"/>
          <w:b/>
          <w:color w:val="auto"/>
          <w:sz w:val="32"/>
          <w:szCs w:val="32"/>
        </w:rPr>
        <w:t xml:space="preserve"> chemical </w:t>
      </w:r>
      <w:r>
        <w:rPr>
          <w:rFonts w:ascii="Times New Roman" w:hAnsi="Times New Roman" w:cs="Times New Roman"/>
          <w:b/>
          <w:color w:val="auto"/>
          <w:sz w:val="32"/>
          <w:szCs w:val="32"/>
        </w:rPr>
        <w:t>enterprises</w:t>
      </w:r>
    </w:p>
    <w:bookmarkEnd w:id="1"/>
    <w:p>
      <w:pPr>
        <w:snapToGrid w:val="0"/>
        <w:spacing w:before="624" w:beforeLines="200" w:after="4056" w:afterLines="1300"/>
        <w:jc w:val="center"/>
        <w:rPr>
          <w:rFonts w:ascii="Times New Roman" w:hAnsi="Times New Roman" w:cs="Times New Roman"/>
          <w:b/>
          <w:color w:val="auto"/>
          <w:sz w:val="32"/>
          <w:szCs w:val="32"/>
        </w:rPr>
      </w:pPr>
      <w:r>
        <w:rPr>
          <w:rFonts w:hint="eastAsia" w:ascii="Times New Roman" w:hAnsi="Times New Roman" w:cs="Times New Roman"/>
          <w:b/>
          <w:color w:val="auto"/>
          <w:sz w:val="32"/>
          <w:szCs w:val="32"/>
        </w:rPr>
        <w:t>（征求意见稿）</w:t>
      </w:r>
    </w:p>
    <w:p>
      <w:pPr>
        <w:snapToGrid w:val="0"/>
        <w:jc w:val="center"/>
        <w:rPr>
          <w:rFonts w:hint="eastAsia" w:ascii="Arial" w:hAnsi="Arial" w:cs="Arial"/>
          <w:b/>
          <w:color w:val="auto"/>
          <w:sz w:val="32"/>
          <w:szCs w:val="32"/>
        </w:rPr>
      </w:pPr>
      <w:r>
        <w:rPr>
          <w:rFonts w:hint="eastAsia" w:ascii="Arial" w:hAnsi="Arial" w:cs="Arial"/>
          <w:b/>
          <w:color w:val="auto"/>
          <w:sz w:val="32"/>
          <w:szCs w:val="32"/>
        </w:rPr>
        <w:t>20YY-MM-DD发布</w:t>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20YY-MM-DD实施</w:t>
      </w:r>
    </w:p>
    <w:p>
      <w:pPr>
        <w:snapToGrid w:val="0"/>
        <w:rPr>
          <w:rFonts w:ascii="Elephant" w:hAnsi="Elephant"/>
          <w:b/>
          <w:color w:val="auto"/>
          <w:sz w:val="32"/>
          <w:szCs w:val="32"/>
        </w:rPr>
      </w:pPr>
      <w:r>
        <w:rPr>
          <w:rFonts w:ascii="Elephant" w:hAnsi="Elephant"/>
          <w:b/>
          <w:color w:val="auto"/>
          <w:sz w:val="32"/>
          <w:szCs w:val="32"/>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137160</wp:posOffset>
                </wp:positionV>
                <wp:extent cx="5400040" cy="0"/>
                <wp:effectExtent l="0" t="9525" r="10160" b="952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flipH="1" flipV="1">
                          <a:off x="0" y="0"/>
                          <a:ext cx="5400040"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flip:x y;margin-left:0pt;margin-top:10.8pt;height:0pt;width:425.2pt;z-index:251666432;mso-width-relative:page;mso-height-relative:page;" filled="f" stroked="t" coordsize="21600,21600" o:gfxdata="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JPATy0QAAAAYBAAAPAAAAAAAAAAEAIAAAACIA&#10;AABkcnMvZG93bnJldi54bWxQSwECFAAUAAAACACHTuJAYJbA/tcBAAB/AwAADgAAAAAAAAABACAA&#10;AAAgAQAAZHJzL2Uyb0RvYy54bWxQSwUGAAAAAAYABgBZAQAAaQUAAAAA&#10;">
                <v:fill on="f" focussize="0,0"/>
                <v:stroke weight="1.5pt" color="#000000" joinstyle="round"/>
                <v:imagedata o:title=""/>
                <o:lock v:ext="edit" aspectratio="f"/>
              </v:line>
            </w:pict>
          </mc:Fallback>
        </mc:AlternateContent>
      </w:r>
    </w:p>
    <w:p>
      <w:pPr>
        <w:snapToGrid w:val="0"/>
        <w:jc w:val="center"/>
        <w:rPr>
          <w:rFonts w:hint="eastAsia" w:ascii="黑体" w:hAnsi="黑体" w:eastAsia="黑体"/>
          <w:b/>
          <w:color w:val="auto"/>
          <w:sz w:val="32"/>
          <w:szCs w:val="32"/>
          <w:lang w:val="en-US" w:eastAsia="zh-CN"/>
        </w:rPr>
        <w:sectPr>
          <w:footerReference r:id="rId5" w:type="first"/>
          <w:footerReference r:id="rId3" w:type="default"/>
          <w:footerReference r:id="rId4" w:type="even"/>
          <w:pgSz w:w="11907" w:h="16840"/>
          <w:pgMar w:top="1440" w:right="1797" w:bottom="1440" w:left="1797" w:header="851" w:footer="794" w:gutter="0"/>
          <w:pgNumType w:start="1"/>
          <w:cols w:space="425" w:num="1"/>
          <w:titlePg/>
          <w:docGrid w:type="lines" w:linePitch="312" w:charSpace="0"/>
        </w:sectPr>
      </w:pPr>
      <w:r>
        <w:rPr>
          <w:rFonts w:hint="eastAsia" w:ascii="黑体" w:hAnsi="黑体" w:eastAsia="黑体"/>
          <w:b/>
          <w:color w:val="auto"/>
          <w:sz w:val="32"/>
          <w:szCs w:val="32"/>
        </w:rPr>
        <w:t>中国石油和化工勘察设计协会  发</w:t>
      </w:r>
      <w:r>
        <w:rPr>
          <w:rFonts w:hint="eastAsia" w:ascii="黑体" w:hAnsi="黑体" w:eastAsia="黑体"/>
          <w:b/>
          <w:color w:val="auto"/>
          <w:sz w:val="32"/>
          <w:szCs w:val="32"/>
          <w:lang w:val="en-US" w:eastAsia="zh-CN"/>
        </w:rPr>
        <w:t>布</w:t>
      </w:r>
    </w:p>
    <w:bookmarkEnd w:id="0"/>
    <w:p>
      <w:pPr>
        <w:keepNext w:val="0"/>
        <w:keepLines w:val="0"/>
        <w:pageBreakBefore/>
        <w:widowControl w:val="0"/>
        <w:kinsoku/>
        <w:wordWrap/>
        <w:overflowPunct/>
        <w:topLinePunct w:val="0"/>
        <w:autoSpaceDE w:val="0"/>
        <w:autoSpaceDN w:val="0"/>
        <w:bidi w:val="0"/>
        <w:adjustRightInd/>
        <w:snapToGrid/>
        <w:spacing w:before="625" w:beforeLines="200" w:line="360" w:lineRule="auto"/>
        <w:jc w:val="center"/>
        <w:textAlignment w:val="bottom"/>
        <w:rPr>
          <w:rFonts w:hint="eastAsia" w:ascii="宋体" w:hAnsi="宋体" w:eastAsia="宋体" w:cs="宋体"/>
          <w:b w:val="0"/>
          <w:color w:val="000000" w:themeColor="text1"/>
          <w:w w:val="100"/>
          <w:sz w:val="36"/>
          <w:szCs w:val="36"/>
          <w:highlight w:val="none"/>
          <w14:textFill>
            <w14:solidFill>
              <w14:schemeClr w14:val="tx1"/>
            </w14:solidFill>
          </w14:textFill>
        </w:rPr>
      </w:pPr>
      <w:r>
        <w:rPr>
          <w:rFonts w:hint="eastAsia" w:ascii="黑体" w:hAnsi="黑体" w:eastAsia="黑体"/>
          <w:b/>
          <w:sz w:val="44"/>
          <w:szCs w:val="44"/>
        </w:rPr>
        <w:t>中国石油和化工勘察设计协会团体标准</w:t>
      </w:r>
    </w:p>
    <w:p>
      <w:pPr>
        <w:spacing w:line="360" w:lineRule="auto"/>
        <w:rPr>
          <w:rFonts w:hint="eastAsia"/>
          <w:color w:val="000000" w:themeColor="text1"/>
          <w:szCs w:val="21"/>
          <w:highlight w:val="none"/>
          <w14:textFill>
            <w14:solidFill>
              <w14:schemeClr w14:val="tx1"/>
            </w14:solidFill>
          </w14:textFill>
        </w:rPr>
      </w:pPr>
    </w:p>
    <w:p>
      <w:pPr>
        <w:spacing w:line="360" w:lineRule="auto"/>
        <w:rPr>
          <w:rFonts w:hint="eastAsia"/>
          <w:color w:val="000000" w:themeColor="text1"/>
          <w:szCs w:val="21"/>
          <w:highlight w:val="none"/>
          <w14:textFill>
            <w14:solidFill>
              <w14:schemeClr w14:val="tx1"/>
            </w14:solidFill>
          </w14:textFill>
        </w:rPr>
      </w:pPr>
    </w:p>
    <w:p>
      <w:pPr>
        <w:spacing w:line="360" w:lineRule="auto"/>
        <w:rPr>
          <w:rFonts w:hint="eastAsia"/>
          <w:color w:val="000000" w:themeColor="text1"/>
          <w:szCs w:val="21"/>
          <w:highlight w:val="none"/>
          <w14:textFill>
            <w14:solidFill>
              <w14:schemeClr w14:val="tx1"/>
            </w14:solidFill>
          </w14:textFill>
        </w:rPr>
      </w:pPr>
      <w:bookmarkStart w:id="121" w:name="_GoBack"/>
      <w:bookmarkEnd w:id="121"/>
    </w:p>
    <w:p>
      <w:pPr>
        <w:snapToGrid w:val="0"/>
        <w:spacing w:line="240" w:lineRule="auto"/>
        <w:jc w:val="center"/>
        <w:rPr>
          <w:b/>
          <w:sz w:val="44"/>
          <w:szCs w:val="44"/>
        </w:rPr>
      </w:pPr>
      <w:r>
        <w:rPr>
          <w:rFonts w:hint="eastAsia"/>
          <w:b/>
          <w:color w:val="auto"/>
          <w:sz w:val="44"/>
          <w:szCs w:val="44"/>
          <w:lang w:val="en-US" w:eastAsia="zh-CN"/>
        </w:rPr>
        <w:t>石油化工企业雷电预警系统设计规范</w:t>
      </w:r>
    </w:p>
    <w:p>
      <w:pPr>
        <w:pStyle w:val="50"/>
        <w:keepNext w:val="0"/>
        <w:keepLines w:val="0"/>
        <w:pageBreakBefore w:val="0"/>
        <w:framePr w:w="0" w:hRule="auto" w:wrap="auto" w:vAnchor="margin" w:hAnchor="text" w:xAlign="left" w:yAlign="inline"/>
        <w:widowControl w:val="0"/>
        <w:kinsoku/>
        <w:wordWrap/>
        <w:overflowPunct/>
        <w:topLinePunct w:val="0"/>
        <w:autoSpaceDE/>
        <w:autoSpaceDN/>
        <w:bidi w:val="0"/>
        <w:adjustRightInd/>
        <w:snapToGrid/>
        <w:spacing w:after="313" w:afterLines="100" w:line="240" w:lineRule="auto"/>
        <w:jc w:val="center"/>
        <w:textAlignment w:val="center"/>
        <w:rPr>
          <w:rFonts w:hint="eastAsia"/>
          <w:color w:val="000000" w:themeColor="text1"/>
          <w:spacing w:val="100"/>
          <w:szCs w:val="52"/>
          <w:highlight w:val="none"/>
          <w14:textFill>
            <w14:solidFill>
              <w14:schemeClr w14:val="tx1"/>
            </w14:solidFill>
          </w14:textFill>
        </w:rPr>
      </w:pPr>
    </w:p>
    <w:p>
      <w:pPr>
        <w:snapToGrid w:val="0"/>
        <w:spacing w:before="624" w:beforeLines="200" w:after="100" w:afterAutospacing="1"/>
        <w:jc w:val="center"/>
        <w:rPr>
          <w:rFonts w:ascii="Times New Roman" w:hAnsi="Times New Roman" w:cs="Times New Roman"/>
          <w:b/>
          <w:color w:val="auto"/>
          <w:sz w:val="32"/>
          <w:szCs w:val="32"/>
        </w:rPr>
      </w:pPr>
      <w:r>
        <w:rPr>
          <w:rFonts w:ascii="Times New Roman" w:hAnsi="Times New Roman" w:cs="Times New Roman"/>
          <w:b/>
          <w:color w:val="auto"/>
          <w:sz w:val="32"/>
          <w:szCs w:val="32"/>
        </w:rPr>
        <w:t>Design specifcation for the lightning casting and warning system of petroleum and</w:t>
      </w:r>
      <w:r>
        <w:rPr>
          <w:rFonts w:hint="eastAsia" w:ascii="Times New Roman" w:hAnsi="Times New Roman" w:cs="Times New Roman"/>
          <w:b/>
          <w:color w:val="auto"/>
          <w:sz w:val="32"/>
          <w:szCs w:val="32"/>
        </w:rPr>
        <w:t xml:space="preserve"> chemical </w:t>
      </w:r>
      <w:r>
        <w:rPr>
          <w:rFonts w:ascii="Times New Roman" w:hAnsi="Times New Roman" w:cs="Times New Roman"/>
          <w:b/>
          <w:color w:val="auto"/>
          <w:sz w:val="32"/>
          <w:szCs w:val="32"/>
        </w:rPr>
        <w:t>enterprises</w:t>
      </w:r>
    </w:p>
    <w:p>
      <w:pPr>
        <w:pStyle w:val="51"/>
        <w:spacing w:before="0" w:line="360" w:lineRule="auto"/>
        <w:jc w:val="both"/>
        <w:rPr>
          <w:rFonts w:hint="eastAsia" w:eastAsia="宋体"/>
          <w:color w:val="000000" w:themeColor="text1"/>
          <w:sz w:val="32"/>
          <w:szCs w:val="32"/>
          <w:highlight w:val="none"/>
          <w14:textFill>
            <w14:solidFill>
              <w14:schemeClr w14:val="tx1"/>
            </w14:solidFill>
          </w14:textFill>
        </w:rPr>
      </w:pPr>
    </w:p>
    <w:p>
      <w:pPr>
        <w:pStyle w:val="51"/>
        <w:keepNext w:val="0"/>
        <w:keepLines w:val="0"/>
        <w:pageBreakBefore w:val="0"/>
        <w:widowControl w:val="0"/>
        <w:kinsoku/>
        <w:wordWrap/>
        <w:overflowPunct/>
        <w:topLinePunct w:val="0"/>
        <w:autoSpaceDE/>
        <w:autoSpaceDN/>
        <w:bidi w:val="0"/>
        <w:adjustRightInd/>
        <w:snapToGrid/>
        <w:spacing w:before="0" w:line="240" w:lineRule="auto"/>
        <w:textAlignment w:val="auto"/>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t>T/HGJ 1486</w:t>
      </w:r>
      <w:r>
        <w:rPr>
          <w:rFonts w:hint="eastAsia" w:ascii="Times New Roman" w:hAnsi="Times New Roman" w:cs="Times New Roman"/>
          <w:b/>
          <w:bCs/>
          <w:color w:val="000000" w:themeColor="text1"/>
          <w:kern w:val="2"/>
          <w:sz w:val="32"/>
          <w:szCs w:val="32"/>
          <w:highlight w:val="none"/>
          <w:lang w:val="en-US" w:eastAsia="zh-CN" w:bidi="ar-SA"/>
          <w14:textFill>
            <w14:solidFill>
              <w14:schemeClr w14:val="tx1"/>
            </w14:solidFill>
          </w14:textFill>
        </w:rPr>
        <w:t>2</w:t>
      </w:r>
      <w:r>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t>-YYYY</w:t>
      </w:r>
    </w:p>
    <w:p>
      <w:pPr>
        <w:pStyle w:val="50"/>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pPr>
        <w:pStyle w:val="50"/>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主编单位：中国寰球工程有限公司北京分公司</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 xml:space="preserve">          天津市中力神盾电子科技有限公司</w:t>
      </w:r>
    </w:p>
    <w:p>
      <w:pPr>
        <w:keepNext w:val="0"/>
        <w:keepLines w:val="0"/>
        <w:pageBreakBefore w:val="0"/>
        <w:widowControl w:val="0"/>
        <w:kinsoku/>
        <w:wordWrap/>
        <w:overflowPunct/>
        <w:topLinePunct w:val="0"/>
        <w:autoSpaceDE/>
        <w:autoSpaceDN/>
        <w:bidi w:val="0"/>
        <w:adjustRightInd/>
        <w:snapToGrid/>
        <w:spacing w:line="360" w:lineRule="auto"/>
        <w:ind w:firstLine="1400" w:firstLineChars="500"/>
        <w:jc w:val="both"/>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批准部门：中国石油和化工勘察设计协会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1400" w:firstLineChars="500"/>
        <w:jc w:val="both"/>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实施日期：20XX年XX月XX日</w:t>
      </w:r>
    </w:p>
    <w:p>
      <w:pPr>
        <w:spacing w:line="360" w:lineRule="auto"/>
        <w:rPr>
          <w:rFonts w:hint="eastAsia" w:eastAsia="宋体"/>
          <w:color w:val="000000" w:themeColor="text1"/>
          <w:sz w:val="28"/>
          <w:szCs w:val="28"/>
          <w:highlight w:val="none"/>
          <w:lang w:eastAsia="zh-CN"/>
          <w14:textFill>
            <w14:solidFill>
              <w14:schemeClr w14:val="tx1"/>
            </w14:solidFill>
          </w14:textFill>
        </w:rPr>
      </w:pPr>
    </w:p>
    <w:p>
      <w:pPr>
        <w:spacing w:line="360" w:lineRule="auto"/>
        <w:rPr>
          <w:rFonts w:hint="eastAsia"/>
          <w:color w:val="000000" w:themeColor="text1"/>
          <w:sz w:val="28"/>
          <w:szCs w:val="28"/>
          <w:highlight w:val="none"/>
          <w14:textFill>
            <w14:solidFill>
              <w14:schemeClr w14:val="tx1"/>
            </w14:solidFill>
          </w14:textFill>
        </w:rPr>
      </w:pPr>
    </w:p>
    <w:p>
      <w:pPr>
        <w:spacing w:line="360" w:lineRule="auto"/>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×××出版社</w:t>
      </w:r>
    </w:p>
    <w:p>
      <w:pPr>
        <w:spacing w:line="360" w:lineRule="auto"/>
        <w:jc w:val="center"/>
        <w:rPr>
          <w:rFonts w:hint="eastAsia" w:ascii="仿宋_GB2312" w:eastAsia="仿宋_GB2312"/>
          <w:color w:val="000000" w:themeColor="text1"/>
          <w:sz w:val="32"/>
          <w:szCs w:val="32"/>
          <w:highlight w:val="none"/>
          <w14:textFill>
            <w14:solidFill>
              <w14:schemeClr w14:val="tx1"/>
            </w14:solidFill>
          </w14:textFill>
        </w:rPr>
        <w:sectPr>
          <w:footerReference r:id="rId6" w:type="default"/>
          <w:pgSz w:w="11907" w:h="16840"/>
          <w:pgMar w:top="1440" w:right="1797" w:bottom="1440" w:left="1797" w:header="851" w:footer="992" w:gutter="0"/>
          <w:pgNumType w:fmt="decimal" w:start="1"/>
          <w:cols w:space="425" w:num="1"/>
          <w:docGrid w:type="lines" w:linePitch="312" w:charSpace="0"/>
        </w:sectPr>
      </w:pPr>
      <w:r>
        <w:rPr>
          <w:rFonts w:hint="eastAsia"/>
          <w:color w:val="000000" w:themeColor="text1"/>
          <w:sz w:val="28"/>
          <w:szCs w:val="28"/>
          <w:highlight w:val="none"/>
          <w14:textFill>
            <w14:solidFill>
              <w14:schemeClr w14:val="tx1"/>
            </w14:solidFill>
          </w14:textFill>
        </w:rPr>
        <w:t xml:space="preserve">20XX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w:t>
      </w:r>
    </w:p>
    <w:p>
      <w:pPr>
        <w:spacing w:before="312" w:beforeLines="100" w:after="312" w:afterLines="100"/>
        <w:jc w:val="center"/>
        <w:rPr>
          <w:rFonts w:hint="eastAsia" w:ascii="宋体" w:hAnsi="宋体"/>
          <w:b w:val="0"/>
          <w:bCs/>
          <w:sz w:val="32"/>
          <w:szCs w:val="32"/>
        </w:rPr>
      </w:pPr>
      <w:r>
        <w:rPr>
          <w:rFonts w:hint="eastAsia" w:ascii="黑体" w:hAnsi="黑体" w:eastAsia="黑体" w:cs="Arial"/>
          <w:b w:val="0"/>
          <w:bCs/>
          <w:color w:val="auto"/>
          <w:sz w:val="32"/>
          <w:szCs w:val="32"/>
        </w:rPr>
        <w:t>前   言</w:t>
      </w:r>
    </w:p>
    <w:p>
      <w:pPr>
        <w:pStyle w:val="46"/>
        <w:spacing w:line="360" w:lineRule="auto"/>
        <w:ind w:firstLine="480"/>
        <w:rPr>
          <w:rFonts w:hint="eastAsia" w:hAnsi="宋体" w:eastAsia="宋体" w:cs="宋体"/>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本规范</w:t>
      </w:r>
      <w:r>
        <w:rPr>
          <w:rFonts w:hint="default" w:ascii="Times New Roman" w:hAnsi="Times New Roman" w:eastAsia="宋体" w:cs="Times New Roman"/>
          <w:color w:val="000000" w:themeColor="text1"/>
          <w:sz w:val="24"/>
          <w:szCs w:val="24"/>
          <w14:textFill>
            <w14:solidFill>
              <w14:schemeClr w14:val="tx1"/>
            </w14:solidFill>
          </w14:textFill>
        </w:rPr>
        <w:t>根据中国石油和化工勘察设计协会《关于印发2024年第4批协会团体标准制修订计划的通知》（中石化勘设协[2024]76号）的要求，</w:t>
      </w:r>
      <w:r>
        <w:rPr>
          <w:rFonts w:hint="eastAsia" w:hAnsi="宋体" w:eastAsia="宋体" w:cs="宋体"/>
          <w:color w:val="000000" w:themeColor="text1"/>
          <w:sz w:val="24"/>
          <w:szCs w:val="24"/>
          <w14:textFill>
            <w14:solidFill>
              <w14:schemeClr w14:val="tx1"/>
            </w14:solidFill>
          </w14:textFill>
        </w:rPr>
        <w:t>中国石油和化工勘察设计协会</w:t>
      </w:r>
      <w:r>
        <w:rPr>
          <w:rFonts w:hint="eastAsia" w:hAnsi="宋体" w:eastAsia="宋体" w:cs="宋体"/>
          <w:color w:val="000000" w:themeColor="text1"/>
          <w:sz w:val="24"/>
          <w:szCs w:val="24"/>
          <w:lang w:val="en-US" w:eastAsia="zh-CN"/>
          <w14:textFill>
            <w14:solidFill>
              <w14:schemeClr w14:val="tx1"/>
            </w14:solidFill>
          </w14:textFill>
        </w:rPr>
        <w:t>电气</w:t>
      </w:r>
      <w:r>
        <w:rPr>
          <w:rFonts w:hint="eastAsia" w:hAnsi="宋体" w:eastAsia="宋体" w:cs="宋体"/>
          <w:color w:val="000000" w:themeColor="text1"/>
          <w:sz w:val="24"/>
          <w:szCs w:val="24"/>
          <w14:textFill>
            <w14:solidFill>
              <w14:schemeClr w14:val="tx1"/>
            </w14:solidFill>
          </w14:textFill>
        </w:rPr>
        <w:t>设计专业委员会负责组织</w:t>
      </w:r>
      <w:r>
        <w:rPr>
          <w:rFonts w:hint="eastAsia" w:hAnsi="宋体" w:eastAsia="宋体" w:cs="宋体"/>
          <w:color w:val="000000" w:themeColor="text1"/>
          <w:sz w:val="24"/>
          <w:szCs w:val="24"/>
          <w:lang w:eastAsia="zh-CN"/>
          <w14:textFill>
            <w14:solidFill>
              <w14:schemeClr w14:val="tx1"/>
            </w14:solidFill>
          </w14:textFill>
        </w:rPr>
        <w:t>，</w:t>
      </w:r>
      <w:r>
        <w:rPr>
          <w:rFonts w:hint="eastAsia" w:hAnsi="宋体" w:eastAsia="宋体" w:cs="宋体"/>
          <w:color w:val="000000" w:themeColor="text1"/>
          <w:sz w:val="24"/>
          <w:szCs w:val="24"/>
          <w14:textFill>
            <w14:solidFill>
              <w14:schemeClr w14:val="tx1"/>
            </w14:solidFill>
          </w14:textFill>
        </w:rPr>
        <w:t>由中国寰球工程有限公司</w:t>
      </w:r>
      <w:r>
        <w:rPr>
          <w:rFonts w:hint="eastAsia" w:hAnsi="宋体" w:eastAsia="宋体" w:cs="宋体"/>
          <w:color w:val="000000" w:themeColor="text1"/>
          <w:sz w:val="24"/>
          <w:szCs w:val="24"/>
          <w:lang w:val="en-US" w:eastAsia="zh-CN"/>
          <w14:textFill>
            <w14:solidFill>
              <w14:schemeClr w14:val="tx1"/>
            </w14:solidFill>
          </w14:textFill>
        </w:rPr>
        <w:t>北京分公司</w:t>
      </w:r>
      <w:r>
        <w:rPr>
          <w:rFonts w:hint="eastAsia" w:hAnsi="宋体" w:eastAsia="宋体" w:cs="宋体"/>
          <w:color w:val="000000" w:themeColor="text1"/>
          <w:sz w:val="24"/>
          <w:szCs w:val="24"/>
          <w14:textFill>
            <w14:solidFill>
              <w14:schemeClr w14:val="tx1"/>
            </w14:solidFill>
          </w14:textFill>
        </w:rPr>
        <w:t>和天津市</w:t>
      </w:r>
      <w:r>
        <w:rPr>
          <w:rFonts w:hint="eastAsia" w:hAnsi="宋体" w:eastAsia="宋体" w:cs="宋体"/>
          <w:color w:val="000000" w:themeColor="text1"/>
          <w:sz w:val="24"/>
          <w:szCs w:val="24"/>
          <w:lang w:val="en-US" w:eastAsia="zh-CN"/>
          <w14:textFill>
            <w14:solidFill>
              <w14:schemeClr w14:val="tx1"/>
            </w14:solidFill>
          </w14:textFill>
        </w:rPr>
        <w:t>中力</w:t>
      </w:r>
      <w:r>
        <w:rPr>
          <w:rFonts w:hint="eastAsia" w:hAnsi="宋体" w:eastAsia="宋体" w:cs="宋体"/>
          <w:color w:val="000000" w:themeColor="text1"/>
          <w:sz w:val="24"/>
          <w:szCs w:val="24"/>
          <w14:textFill>
            <w14:solidFill>
              <w14:schemeClr w14:val="tx1"/>
            </w14:solidFill>
          </w14:textFill>
        </w:rPr>
        <w:t>神盾电子科技有限公司会同有关单位组成规范</w:t>
      </w:r>
      <w:r>
        <w:rPr>
          <w:rFonts w:hint="eastAsia" w:hAnsi="宋体" w:eastAsia="宋体" w:cs="宋体"/>
          <w:color w:val="000000" w:themeColor="text1"/>
          <w:sz w:val="24"/>
          <w:szCs w:val="24"/>
          <w:lang w:val="en-US" w:eastAsia="zh-CN"/>
          <w14:textFill>
            <w14:solidFill>
              <w14:schemeClr w14:val="tx1"/>
            </w14:solidFill>
          </w14:textFill>
        </w:rPr>
        <w:t>编制</w:t>
      </w:r>
      <w:r>
        <w:rPr>
          <w:rFonts w:hint="eastAsia" w:hAnsi="宋体" w:eastAsia="宋体" w:cs="宋体"/>
          <w:color w:val="000000" w:themeColor="text1"/>
          <w:sz w:val="24"/>
          <w:szCs w:val="24"/>
          <w14:textFill>
            <w14:solidFill>
              <w14:schemeClr w14:val="tx1"/>
            </w14:solidFill>
          </w14:textFill>
        </w:rPr>
        <w:t>组共同编制完成</w:t>
      </w:r>
      <w:r>
        <w:rPr>
          <w:rFonts w:hint="eastAsia" w:hAnsi="宋体" w:eastAsia="宋体" w:cs="宋体"/>
          <w:color w:val="000000" w:themeColor="text1"/>
          <w:sz w:val="24"/>
          <w:szCs w:val="24"/>
          <w:lang w:eastAsia="zh-CN"/>
          <w14:textFill>
            <w14:solidFill>
              <w14:schemeClr w14:val="tx1"/>
            </w14:solidFill>
          </w14:textFill>
        </w:rPr>
        <w:t>。</w:t>
      </w:r>
    </w:p>
    <w:p>
      <w:pPr>
        <w:pStyle w:val="46"/>
        <w:spacing w:line="360" w:lineRule="auto"/>
        <w:ind w:firstLine="48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本规范已将发布文件和规范有关信息在全国团体标准信息平台（http://www.ttbz.org.cn）信息公开。</w:t>
      </w:r>
    </w:p>
    <w:p>
      <w:pPr>
        <w:pStyle w:val="46"/>
        <w:spacing w:line="360" w:lineRule="auto"/>
        <w:ind w:firstLine="480"/>
        <w:rPr>
          <w:rFonts w:hint="eastAsia"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本规范在编制过程中，规范</w:t>
      </w:r>
      <w:r>
        <w:rPr>
          <w:rFonts w:hint="eastAsia" w:hAnsi="宋体" w:eastAsia="宋体" w:cs="宋体"/>
          <w:color w:val="000000" w:themeColor="text1"/>
          <w:sz w:val="24"/>
          <w:szCs w:val="24"/>
          <w:lang w:val="en-US" w:eastAsia="zh-CN"/>
          <w14:textFill>
            <w14:solidFill>
              <w14:schemeClr w14:val="tx1"/>
            </w14:solidFill>
          </w14:textFill>
        </w:rPr>
        <w:t>编制</w:t>
      </w:r>
      <w:r>
        <w:rPr>
          <w:rFonts w:hint="eastAsia" w:hAnsi="宋体" w:eastAsia="宋体" w:cs="宋体"/>
          <w:color w:val="000000" w:themeColor="text1"/>
          <w:sz w:val="24"/>
          <w:szCs w:val="24"/>
          <w14:textFill>
            <w14:solidFill>
              <w14:schemeClr w14:val="tx1"/>
            </w14:solidFill>
          </w14:textFill>
        </w:rPr>
        <w:t>组经广泛调查研究，结合具体工程实践，参考有关国内外标准先进标准，并在广泛征求意见的基础上，最后经审查定稿。</w:t>
      </w:r>
    </w:p>
    <w:p>
      <w:pPr>
        <w:spacing w:line="360" w:lineRule="auto"/>
        <w:ind w:firstLine="480" w:firstLineChars="200"/>
        <w:rPr>
          <w:rFonts w:hint="eastAsia" w:ascii="宋体" w:hAnsi="宋体"/>
          <w:sz w:val="24"/>
          <w:szCs w:val="24"/>
        </w:rPr>
      </w:pPr>
      <w:r>
        <w:rPr>
          <w:rFonts w:hint="eastAsia" w:ascii="宋体" w:hAnsi="宋体"/>
          <w:color w:val="000000" w:themeColor="text1"/>
          <w:sz w:val="24"/>
          <w:szCs w:val="24"/>
          <w14:textFill>
            <w14:solidFill>
              <w14:schemeClr w14:val="tx1"/>
            </w14:solidFill>
          </w14:textFill>
        </w:rPr>
        <w:t>本</w:t>
      </w:r>
      <w:r>
        <w:rPr>
          <w:rFonts w:hint="eastAsia" w:ascii="宋体" w:hAnsi="宋体"/>
          <w:color w:val="000000" w:themeColor="text1"/>
          <w:sz w:val="24"/>
          <w:szCs w:val="24"/>
          <w:lang w:val="en-US" w:eastAsia="zh-CN"/>
          <w14:textFill>
            <w14:solidFill>
              <w14:schemeClr w14:val="tx1"/>
            </w14:solidFill>
          </w14:textFill>
        </w:rPr>
        <w:t>规范的</w:t>
      </w:r>
      <w:r>
        <w:rPr>
          <w:rFonts w:hint="eastAsia" w:ascii="宋体" w:hAnsi="宋体"/>
          <w:color w:val="000000" w:themeColor="text1"/>
          <w:sz w:val="24"/>
          <w:szCs w:val="24"/>
          <w14:textFill>
            <w14:solidFill>
              <w14:schemeClr w14:val="tx1"/>
            </w14:solidFill>
          </w14:textFill>
        </w:rPr>
        <w:t>主要</w:t>
      </w:r>
      <w:r>
        <w:rPr>
          <w:rFonts w:hint="eastAsia" w:ascii="宋体" w:hAnsi="宋体"/>
          <w:color w:val="000000" w:themeColor="text1"/>
          <w:sz w:val="24"/>
          <w:szCs w:val="24"/>
          <w:lang w:val="en-US" w:eastAsia="zh-CN"/>
          <w14:textFill>
            <w14:solidFill>
              <w14:schemeClr w14:val="tx1"/>
            </w14:solidFill>
          </w14:textFill>
        </w:rPr>
        <w:t>技术</w:t>
      </w:r>
      <w:r>
        <w:rPr>
          <w:rFonts w:hint="eastAsia" w:ascii="宋体" w:hAnsi="宋体"/>
          <w:color w:val="000000" w:themeColor="text1"/>
          <w:sz w:val="24"/>
          <w:szCs w:val="24"/>
          <w14:textFill>
            <w14:solidFill>
              <w14:schemeClr w14:val="tx1"/>
            </w14:solidFill>
          </w14:textFill>
        </w:rPr>
        <w:t>内容：</w:t>
      </w:r>
      <w:r>
        <w:rPr>
          <w:rStyle w:val="20"/>
          <w:rFonts w:ascii="宋体" w:hAnsi="宋体"/>
          <w:color w:val="auto"/>
          <w:sz w:val="24"/>
          <w:szCs w:val="24"/>
          <w:u w:val="none"/>
        </w:rPr>
        <w:t>总则</w:t>
      </w:r>
      <w:r>
        <w:rPr>
          <w:rStyle w:val="20"/>
          <w:rFonts w:hint="eastAsia" w:ascii="宋体" w:hAnsi="宋体"/>
          <w:color w:val="auto"/>
          <w:sz w:val="24"/>
          <w:szCs w:val="24"/>
          <w:u w:val="none"/>
          <w:lang w:eastAsia="zh-CN"/>
        </w:rPr>
        <w:t>、</w:t>
      </w:r>
      <w:r>
        <w:rPr>
          <w:rStyle w:val="20"/>
          <w:rFonts w:ascii="宋体" w:hAnsi="宋体"/>
          <w:color w:val="auto"/>
          <w:sz w:val="24"/>
          <w:szCs w:val="24"/>
          <w:u w:val="none"/>
        </w:rPr>
        <w:t>术语</w:t>
      </w:r>
      <w:r>
        <w:rPr>
          <w:rStyle w:val="20"/>
          <w:rFonts w:hint="eastAsia" w:ascii="宋体" w:hAnsi="宋体"/>
          <w:color w:val="auto"/>
          <w:sz w:val="24"/>
          <w:szCs w:val="24"/>
          <w:u w:val="none"/>
          <w:lang w:eastAsia="zh-CN"/>
        </w:rPr>
        <w:t>、</w:t>
      </w:r>
      <w:r>
        <w:rPr>
          <w:rStyle w:val="20"/>
          <w:rFonts w:ascii="宋体" w:hAnsi="宋体"/>
          <w:color w:val="auto"/>
          <w:sz w:val="24"/>
          <w:szCs w:val="24"/>
          <w:u w:val="none"/>
        </w:rPr>
        <w:t>基本规定</w:t>
      </w:r>
      <w:r>
        <w:rPr>
          <w:rStyle w:val="20"/>
          <w:rFonts w:hint="eastAsia" w:ascii="宋体" w:hAnsi="宋体"/>
          <w:color w:val="auto"/>
          <w:sz w:val="24"/>
          <w:szCs w:val="24"/>
          <w:u w:val="none"/>
          <w:lang w:eastAsia="zh-CN"/>
        </w:rPr>
        <w:t>、</w:t>
      </w:r>
      <w:r>
        <w:rPr>
          <w:rStyle w:val="20"/>
          <w:rFonts w:ascii="宋体" w:hAnsi="宋体"/>
          <w:color w:val="auto"/>
          <w:sz w:val="24"/>
          <w:szCs w:val="24"/>
          <w:u w:val="none"/>
        </w:rPr>
        <w:t>系统</w:t>
      </w:r>
      <w:r>
        <w:rPr>
          <w:rStyle w:val="20"/>
          <w:rFonts w:hint="eastAsia" w:ascii="宋体" w:hAnsi="宋体"/>
          <w:color w:val="auto"/>
          <w:sz w:val="24"/>
          <w:szCs w:val="24"/>
          <w:u w:val="none"/>
          <w:lang w:val="en-US" w:eastAsia="zh-CN"/>
        </w:rPr>
        <w:t>组成</w:t>
      </w:r>
      <w:r>
        <w:rPr>
          <w:rStyle w:val="20"/>
          <w:rFonts w:hint="eastAsia" w:ascii="宋体" w:hAnsi="宋体"/>
          <w:color w:val="auto"/>
          <w:sz w:val="24"/>
          <w:szCs w:val="24"/>
          <w:u w:val="none"/>
          <w:lang w:eastAsia="zh-CN"/>
        </w:rPr>
        <w:t>、</w:t>
      </w:r>
      <w:r>
        <w:rPr>
          <w:rStyle w:val="20"/>
          <w:rFonts w:ascii="宋体" w:hAnsi="宋体"/>
          <w:color w:val="auto"/>
          <w:sz w:val="24"/>
          <w:szCs w:val="24"/>
          <w:u w:val="none"/>
        </w:rPr>
        <w:t>系统</w:t>
      </w:r>
      <w:r>
        <w:rPr>
          <w:rStyle w:val="20"/>
          <w:rFonts w:hint="eastAsia" w:ascii="宋体" w:hAnsi="宋体"/>
          <w:color w:val="auto"/>
          <w:sz w:val="24"/>
          <w:szCs w:val="24"/>
          <w:u w:val="none"/>
          <w:lang w:val="en-US" w:eastAsia="zh-CN"/>
        </w:rPr>
        <w:t>功能</w:t>
      </w:r>
      <w:r>
        <w:rPr>
          <w:rStyle w:val="20"/>
          <w:rFonts w:hint="eastAsia" w:ascii="宋体" w:hAnsi="宋体"/>
          <w:color w:val="auto"/>
          <w:sz w:val="24"/>
          <w:szCs w:val="24"/>
          <w:u w:val="none"/>
          <w:lang w:eastAsia="zh-CN"/>
        </w:rPr>
        <w:t>、</w:t>
      </w:r>
      <w:r>
        <w:rPr>
          <w:rStyle w:val="20"/>
          <w:rFonts w:hint="eastAsia" w:ascii="宋体" w:hAnsi="宋体"/>
          <w:color w:val="auto"/>
          <w:sz w:val="24"/>
          <w:szCs w:val="24"/>
          <w:u w:val="none"/>
          <w:lang w:val="en-US" w:eastAsia="zh-CN"/>
        </w:rPr>
        <w:t>系统设计</w:t>
      </w:r>
      <w:r>
        <w:rPr>
          <w:rStyle w:val="20"/>
          <w:rFonts w:hint="eastAsia" w:ascii="宋体" w:hAnsi="宋体"/>
          <w:color w:val="auto"/>
          <w:sz w:val="24"/>
          <w:szCs w:val="24"/>
          <w:u w:val="none"/>
          <w:lang w:eastAsia="zh-CN"/>
        </w:rPr>
        <w:t>、</w:t>
      </w:r>
      <w:r>
        <w:rPr>
          <w:rStyle w:val="20"/>
          <w:rFonts w:ascii="宋体" w:hAnsi="宋体"/>
          <w:color w:val="auto"/>
          <w:sz w:val="24"/>
          <w:szCs w:val="24"/>
          <w:u w:val="none"/>
        </w:rPr>
        <w:t>安装验收</w:t>
      </w:r>
      <w:r>
        <w:rPr>
          <w:rStyle w:val="20"/>
          <w:rFonts w:hint="eastAsia" w:ascii="宋体" w:hAnsi="宋体"/>
          <w:color w:val="auto"/>
          <w:sz w:val="24"/>
          <w:szCs w:val="24"/>
          <w:u w:val="none"/>
          <w:lang w:eastAsia="zh-CN"/>
        </w:rPr>
        <w:t>、</w:t>
      </w:r>
      <w:r>
        <w:rPr>
          <w:rStyle w:val="20"/>
          <w:rFonts w:ascii="宋体" w:hAnsi="宋体"/>
          <w:color w:val="auto"/>
          <w:sz w:val="24"/>
          <w:szCs w:val="24"/>
          <w:u w:val="none"/>
        </w:rPr>
        <w:t>运行维护</w:t>
      </w:r>
      <w:r>
        <w:rPr>
          <w:rStyle w:val="20"/>
          <w:rFonts w:hint="eastAsia" w:ascii="宋体" w:hAnsi="宋体"/>
          <w:color w:val="auto"/>
          <w:sz w:val="24"/>
          <w:szCs w:val="24"/>
          <w:u w:val="none"/>
        </w:rPr>
        <w:t>。</w:t>
      </w:r>
    </w:p>
    <w:p>
      <w:pPr>
        <w:spacing w:line="360" w:lineRule="auto"/>
        <w:ind w:firstLine="480" w:firstLineChars="200"/>
        <w:rPr>
          <w:rFonts w:hint="eastAsia" w:ascii="宋体" w:hAnsi="宋体"/>
          <w:color w:val="000000" w:themeColor="text1"/>
          <w:sz w:val="24"/>
          <w:szCs w:val="24"/>
          <w:lang w:eastAsia="zh-CN"/>
          <w14:textFill>
            <w14:solidFill>
              <w14:schemeClr w14:val="tx1"/>
            </w14:solidFill>
          </w14:textFill>
        </w:rPr>
      </w:pPr>
      <w:bookmarkStart w:id="2" w:name="_Hlk193897865"/>
      <w:r>
        <w:rPr>
          <w:rFonts w:hint="eastAsia" w:ascii="宋体" w:hAnsi="宋体"/>
          <w:color w:val="000000" w:themeColor="text1"/>
          <w:sz w:val="24"/>
          <w:szCs w:val="24"/>
          <w14:textFill>
            <w14:solidFill>
              <w14:schemeClr w14:val="tx1"/>
            </w14:solidFill>
          </w14:textFill>
        </w:rPr>
        <w:t>本</w:t>
      </w:r>
      <w:r>
        <w:rPr>
          <w:rFonts w:hint="eastAsia" w:ascii="宋体" w:hAnsi="宋体"/>
          <w:color w:val="000000" w:themeColor="text1"/>
          <w:sz w:val="24"/>
          <w:szCs w:val="24"/>
          <w:lang w:val="en-US" w:eastAsia="zh-CN"/>
          <w14:textFill>
            <w14:solidFill>
              <w14:schemeClr w14:val="tx1"/>
            </w14:solidFill>
          </w14:textFill>
        </w:rPr>
        <w:t>规范</w:t>
      </w:r>
      <w:r>
        <w:rPr>
          <w:rFonts w:hint="eastAsia" w:ascii="宋体" w:hAnsi="宋体"/>
          <w:color w:val="000000" w:themeColor="text1"/>
          <w:sz w:val="24"/>
          <w:szCs w:val="24"/>
          <w14:textFill>
            <w14:solidFill>
              <w14:schemeClr w14:val="tx1"/>
            </w14:solidFill>
          </w14:textFill>
        </w:rPr>
        <w:t>由</w:t>
      </w:r>
      <w:r>
        <w:rPr>
          <w:rFonts w:hint="eastAsia" w:hAnsi="宋体" w:cs="宋体"/>
          <w:color w:val="000000" w:themeColor="text1"/>
          <w:sz w:val="24"/>
          <w:szCs w:val="24"/>
          <w14:textFill>
            <w14:solidFill>
              <w14:schemeClr w14:val="tx1"/>
            </w14:solidFill>
          </w14:textFill>
        </w:rPr>
        <w:t>中国石油和化工勘察设计协会负责</w:t>
      </w:r>
      <w:r>
        <w:rPr>
          <w:rFonts w:hint="eastAsia" w:ascii="宋体" w:hAnsi="宋体"/>
          <w:color w:val="000000" w:themeColor="text1"/>
          <w:sz w:val="24"/>
          <w:szCs w:val="24"/>
          <w14:textFill>
            <w14:solidFill>
              <w14:schemeClr w14:val="tx1"/>
            </w14:solidFill>
          </w14:textFill>
        </w:rPr>
        <w:t>管理，由中国石油和化工勘察设</w:t>
      </w:r>
      <w:r>
        <w:rPr>
          <w:rFonts w:hint="default" w:ascii="Times New Roman" w:hAnsi="Times New Roman" w:cs="Times New Roman"/>
          <w:color w:val="auto"/>
          <w:sz w:val="24"/>
          <w:szCs w:val="24"/>
        </w:rPr>
        <w:t>计协会</w:t>
      </w:r>
      <w:r>
        <w:rPr>
          <w:rFonts w:hint="default" w:ascii="Times New Roman" w:hAnsi="Times New Roman" w:cs="Times New Roman"/>
          <w:color w:val="auto"/>
          <w:sz w:val="24"/>
          <w:szCs w:val="24"/>
          <w:lang w:val="en-US" w:eastAsia="zh-CN"/>
        </w:rPr>
        <w:t>电气</w:t>
      </w:r>
      <w:r>
        <w:rPr>
          <w:rFonts w:hint="default" w:ascii="Times New Roman" w:hAnsi="Times New Roman" w:cs="Times New Roman"/>
          <w:color w:val="auto"/>
          <w:sz w:val="24"/>
          <w:szCs w:val="24"/>
        </w:rPr>
        <w:t>设计专业委员会负责日常管理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由</w:t>
      </w:r>
      <w:r>
        <w:rPr>
          <w:rFonts w:hint="default" w:ascii="Times New Roman" w:hAnsi="Times New Roman" w:eastAsia="宋体" w:cs="Times New Roman"/>
          <w:color w:val="auto"/>
          <w:sz w:val="24"/>
          <w:szCs w:val="24"/>
        </w:rPr>
        <w:t>天津市</w:t>
      </w:r>
      <w:r>
        <w:rPr>
          <w:rFonts w:hint="default" w:ascii="Times New Roman" w:hAnsi="Times New Roman" w:eastAsia="宋体" w:cs="Times New Roman"/>
          <w:color w:val="auto"/>
          <w:sz w:val="24"/>
          <w:szCs w:val="24"/>
          <w:lang w:val="en-US" w:eastAsia="zh-CN"/>
        </w:rPr>
        <w:t>中力</w:t>
      </w:r>
      <w:r>
        <w:rPr>
          <w:rFonts w:hint="default" w:ascii="Times New Roman" w:hAnsi="Times New Roman" w:eastAsia="宋体" w:cs="Times New Roman"/>
          <w:color w:val="auto"/>
          <w:sz w:val="24"/>
          <w:szCs w:val="24"/>
        </w:rPr>
        <w:t>神盾电子科技有限公司</w:t>
      </w:r>
      <w:r>
        <w:rPr>
          <w:rFonts w:hint="default" w:ascii="Times New Roman" w:hAnsi="Times New Roman" w:cs="Times New Roman"/>
          <w:color w:val="auto"/>
          <w:sz w:val="24"/>
          <w:szCs w:val="24"/>
        </w:rPr>
        <w:t>负责具体技术内容的解释。</w:t>
      </w:r>
      <w:r>
        <w:rPr>
          <w:rFonts w:hint="default" w:ascii="Times New Roman" w:hAnsi="Times New Roman" w:cs="Times New Roman"/>
          <w:color w:val="auto"/>
          <w:sz w:val="24"/>
          <w:szCs w:val="24"/>
          <w:lang w:val="en-US" w:eastAsia="zh-CN"/>
        </w:rPr>
        <w:t>在</w:t>
      </w:r>
      <w:r>
        <w:rPr>
          <w:rFonts w:hint="default" w:ascii="Times New Roman" w:hAnsi="Times New Roman" w:cs="Times New Roman"/>
          <w:color w:val="auto"/>
          <w:sz w:val="24"/>
          <w:szCs w:val="24"/>
        </w:rPr>
        <w:t>执行过程中如有意见或建议，请</w:t>
      </w:r>
      <w:r>
        <w:rPr>
          <w:rFonts w:hint="default" w:ascii="Times New Roman" w:hAnsi="Times New Roman" w:eastAsia="宋体" w:cs="Times New Roman"/>
          <w:color w:val="000000" w:themeColor="text1"/>
          <w:sz w:val="24"/>
          <w:szCs w:val="24"/>
          <w14:textFill>
            <w14:solidFill>
              <w14:schemeClr w14:val="tx1"/>
            </w14:solidFill>
          </w14:textFill>
        </w:rPr>
        <w:t>天津市</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中力</w:t>
      </w:r>
      <w:r>
        <w:rPr>
          <w:rFonts w:hint="default" w:ascii="Times New Roman" w:hAnsi="Times New Roman" w:eastAsia="宋体" w:cs="Times New Roman"/>
          <w:color w:val="000000" w:themeColor="text1"/>
          <w:sz w:val="24"/>
          <w:szCs w:val="24"/>
          <w14:textFill>
            <w14:solidFill>
              <w14:schemeClr w14:val="tx1"/>
            </w14:solidFill>
          </w14:textFill>
        </w:rPr>
        <w:t>神盾电子科技有限公司</w:t>
      </w:r>
      <w:r>
        <w:rPr>
          <w:rFonts w:hint="default" w:ascii="Times New Roman" w:hAnsi="Times New Roman" w:cs="Times New Roman"/>
          <w:color w:val="auto"/>
          <w:sz w:val="24"/>
          <w:szCs w:val="24"/>
        </w:rPr>
        <w:t>（地址：天津市滨海高新区华苑产业区华科四路5号，邮编：300392，电子邮件：tjzlfl@139.com 电话：022-83711920）</w:t>
      </w:r>
      <w:r>
        <w:rPr>
          <w:rFonts w:hint="default" w:ascii="Times New Roman" w:hAnsi="Times New Roman" w:cs="Times New Roman"/>
          <w:color w:val="auto"/>
          <w:sz w:val="24"/>
          <w:szCs w:val="24"/>
          <w:lang w:eastAsia="zh-CN"/>
        </w:rPr>
        <w:t>。</w:t>
      </w:r>
    </w:p>
    <w:p>
      <w:pPr>
        <w:spacing w:line="360" w:lineRule="auto"/>
        <w:ind w:firstLine="480" w:firstLineChars="200"/>
        <w:rPr>
          <w:rFonts w:hint="eastAsia" w:ascii="宋体" w:hAnsi="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lang w:eastAsia="zh-CN"/>
          <w14:textFill>
            <w14:solidFill>
              <w14:schemeClr w14:val="tx1"/>
            </w14:solidFill>
          </w14:textFill>
        </w:rPr>
        <w:t>本规范主编单位、参编单位、主要起草人和主要审查人：</w:t>
      </w:r>
    </w:p>
    <w:p>
      <w:pPr>
        <w:spacing w:line="360" w:lineRule="auto"/>
        <w:ind w:firstLine="480" w:firstLineChars="200"/>
        <w:rPr>
          <w:rFonts w:hint="eastAsia" w:ascii="宋体" w:hAnsi="宋体"/>
          <w:sz w:val="24"/>
          <w:szCs w:val="24"/>
        </w:rPr>
      </w:pPr>
      <w:r>
        <w:rPr>
          <w:rFonts w:hint="eastAsia" w:ascii="宋体" w:hAnsi="宋体"/>
          <w:sz w:val="24"/>
          <w:szCs w:val="24"/>
        </w:rPr>
        <w:t>主编单位：</w:t>
      </w:r>
      <w:r>
        <w:rPr>
          <w:rFonts w:ascii="宋体" w:hAnsi="宋体"/>
          <w:sz w:val="24"/>
          <w:szCs w:val="24"/>
        </w:rPr>
        <w:tab/>
      </w:r>
      <w:r>
        <w:rPr>
          <w:rFonts w:hint="eastAsia" w:ascii="宋体" w:hAnsi="宋体" w:cs="宋体"/>
          <w:sz w:val="24"/>
          <w:szCs w:val="24"/>
        </w:rPr>
        <w:t>中国寰球工程有限公司</w:t>
      </w:r>
      <w:r>
        <w:rPr>
          <w:rFonts w:hint="eastAsia" w:hAnsi="宋体" w:eastAsia="宋体" w:cs="宋体"/>
          <w:color w:val="000000" w:themeColor="text1"/>
          <w:sz w:val="24"/>
          <w:szCs w:val="24"/>
          <w:lang w:val="en-US" w:eastAsia="zh-CN"/>
          <w14:textFill>
            <w14:solidFill>
              <w14:schemeClr w14:val="tx1"/>
            </w14:solidFill>
          </w14:textFill>
        </w:rPr>
        <w:t>北京分公司</w:t>
      </w:r>
    </w:p>
    <w:p>
      <w:pPr>
        <w:spacing w:line="360" w:lineRule="auto"/>
        <w:ind w:left="1620" w:firstLine="480" w:firstLineChars="200"/>
        <w:rPr>
          <w:rFonts w:hint="eastAsia" w:ascii="宋体" w:hAnsi="宋体"/>
          <w:sz w:val="24"/>
          <w:szCs w:val="24"/>
        </w:rPr>
      </w:pPr>
      <w:r>
        <w:rPr>
          <w:rFonts w:hint="eastAsia" w:hAnsi="宋体" w:eastAsia="宋体" w:cs="宋体"/>
          <w:color w:val="000000" w:themeColor="text1"/>
          <w:sz w:val="24"/>
          <w:szCs w:val="24"/>
          <w14:textFill>
            <w14:solidFill>
              <w14:schemeClr w14:val="tx1"/>
            </w14:solidFill>
          </w14:textFill>
        </w:rPr>
        <w:t>天津市</w:t>
      </w:r>
      <w:r>
        <w:rPr>
          <w:rFonts w:hint="eastAsia" w:hAnsi="宋体" w:eastAsia="宋体" w:cs="宋体"/>
          <w:color w:val="000000" w:themeColor="text1"/>
          <w:sz w:val="24"/>
          <w:szCs w:val="24"/>
          <w:lang w:val="en-US" w:eastAsia="zh-CN"/>
          <w14:textFill>
            <w14:solidFill>
              <w14:schemeClr w14:val="tx1"/>
            </w14:solidFill>
          </w14:textFill>
        </w:rPr>
        <w:t>中力</w:t>
      </w:r>
      <w:r>
        <w:rPr>
          <w:rFonts w:hint="eastAsia" w:hAnsi="宋体" w:eastAsia="宋体" w:cs="宋体"/>
          <w:color w:val="000000" w:themeColor="text1"/>
          <w:sz w:val="24"/>
          <w:szCs w:val="24"/>
          <w14:textFill>
            <w14:solidFill>
              <w14:schemeClr w14:val="tx1"/>
            </w14:solidFill>
          </w14:textFill>
        </w:rPr>
        <w:t>神盾电子科技有限公司</w:t>
      </w:r>
    </w:p>
    <w:p>
      <w:pPr>
        <w:spacing w:line="360" w:lineRule="auto"/>
        <w:ind w:firstLine="480" w:firstLineChars="200"/>
        <w:rPr>
          <w:rFonts w:hint="eastAsia" w:ascii="宋体" w:hAnsi="宋体"/>
          <w:sz w:val="24"/>
          <w:szCs w:val="24"/>
        </w:rPr>
      </w:pPr>
      <w:r>
        <w:rPr>
          <w:rFonts w:hint="eastAsia" w:ascii="宋体" w:hAnsi="宋体"/>
          <w:sz w:val="24"/>
          <w:szCs w:val="24"/>
        </w:rPr>
        <w:t>参编单位：</w:t>
      </w:r>
    </w:p>
    <w:p>
      <w:pPr>
        <w:spacing w:line="360" w:lineRule="auto"/>
        <w:ind w:firstLine="480" w:firstLineChars="200"/>
        <w:rPr>
          <w:rFonts w:hint="eastAsia" w:ascii="宋体" w:hAnsi="宋体"/>
          <w:sz w:val="24"/>
          <w:szCs w:val="24"/>
        </w:rPr>
      </w:pPr>
      <w:r>
        <w:rPr>
          <w:rFonts w:hint="eastAsia" w:ascii="宋体" w:hAnsi="宋体"/>
          <w:sz w:val="24"/>
          <w:szCs w:val="24"/>
        </w:rPr>
        <w:t>主要起草人：</w:t>
      </w:r>
    </w:p>
    <w:p>
      <w:pPr>
        <w:spacing w:line="360" w:lineRule="auto"/>
        <w:ind w:firstLine="480" w:firstLineChars="200"/>
        <w:rPr>
          <w:rFonts w:hint="eastAsia" w:ascii="宋体" w:hAnsi="宋体"/>
          <w:sz w:val="32"/>
          <w:szCs w:val="32"/>
        </w:rPr>
      </w:pPr>
      <w:r>
        <w:rPr>
          <w:rFonts w:hint="eastAsia" w:ascii="宋体" w:hAnsi="宋体"/>
          <w:sz w:val="24"/>
          <w:szCs w:val="24"/>
        </w:rPr>
        <w:t>主要审查人：</w:t>
      </w:r>
      <w:bookmarkEnd w:id="2"/>
    </w:p>
    <w:p>
      <w:pPr>
        <w:jc w:val="center"/>
        <w:rPr>
          <w:rFonts w:hint="eastAsia" w:ascii="宋体" w:hAnsi="宋体"/>
          <w:sz w:val="32"/>
          <w:szCs w:val="32"/>
        </w:rPr>
      </w:pPr>
    </w:p>
    <w:p>
      <w:pPr>
        <w:jc w:val="center"/>
        <w:rPr>
          <w:rFonts w:eastAsia="黑体"/>
          <w:sz w:val="32"/>
          <w:szCs w:val="32"/>
        </w:rPr>
        <w:sectPr>
          <w:footerReference r:id="rId7" w:type="default"/>
          <w:pgSz w:w="11906" w:h="16838"/>
          <w:pgMar w:top="1440" w:right="1797" w:bottom="1440" w:left="1797" w:header="851" w:footer="584"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黑体" w:hAnsi="黑体" w:eastAsia="黑体" w:cs="Arial"/>
          <w:b w:val="0"/>
          <w:bCs/>
          <w:color w:val="auto"/>
          <w:sz w:val="32"/>
          <w:szCs w:val="32"/>
          <w:lang w:val="zh-CN"/>
        </w:rPr>
      </w:pPr>
      <w:r>
        <w:rPr>
          <w:rFonts w:hint="eastAsia" w:ascii="黑体" w:hAnsi="黑体" w:eastAsia="黑体" w:cs="Arial"/>
          <w:b w:val="0"/>
          <w:bCs/>
          <w:color w:val="auto"/>
          <w:sz w:val="32"/>
          <w:szCs w:val="32"/>
          <w:lang w:val="zh-CN"/>
        </w:rPr>
        <w:t xml:space="preserve">目  </w:t>
      </w:r>
      <w:r>
        <w:rPr>
          <w:rFonts w:hint="eastAsia" w:ascii="黑体" w:hAnsi="黑体" w:eastAsia="黑体" w:cs="Arial"/>
          <w:b w:val="0"/>
          <w:bCs/>
          <w:color w:val="auto"/>
          <w:sz w:val="32"/>
          <w:szCs w:val="32"/>
          <w:lang w:val="en-US" w:eastAsia="zh-CN"/>
        </w:rPr>
        <w:t xml:space="preserve"> </w:t>
      </w:r>
      <w:r>
        <w:rPr>
          <w:rFonts w:hint="eastAsia" w:ascii="黑体" w:hAnsi="黑体" w:eastAsia="黑体" w:cs="Arial"/>
          <w:b w:val="0"/>
          <w:bCs/>
          <w:color w:val="auto"/>
          <w:sz w:val="32"/>
          <w:szCs w:val="32"/>
          <w:lang w:val="zh-CN"/>
        </w:rPr>
        <w:t>次</w:t>
      </w:r>
    </w:p>
    <w:p>
      <w:pPr>
        <w:adjustRightInd w:val="0"/>
        <w:snapToGrid w:val="0"/>
        <w:spacing w:line="288" w:lineRule="auto"/>
        <w:jc w:val="left"/>
        <w:rPr>
          <w:rFonts w:hint="eastAsia" w:ascii="黑体" w:hAnsi="黑体" w:eastAsia="黑体"/>
          <w:sz w:val="24"/>
          <w:szCs w:val="24"/>
        </w:rPr>
      </w:pPr>
    </w:p>
    <w:sdt>
      <w:sdtPr>
        <w:rPr>
          <w:sz w:val="24"/>
          <w:szCs w:val="24"/>
          <w:lang w:val="zh-CN"/>
        </w:rPr>
        <w:id w:val="-757751940"/>
        <w:docPartObj>
          <w:docPartGallery w:val="Table of Contents"/>
          <w:docPartUnique/>
        </w:docPartObj>
      </w:sdtPr>
      <w:sdtEndPr>
        <w:rPr>
          <w:b/>
          <w:bCs/>
          <w:sz w:val="24"/>
          <w:szCs w:val="24"/>
          <w:lang w:val="zh-CN"/>
        </w:rPr>
      </w:sdtEndPr>
      <w:sdtContent>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TOC \o "1-3" \h \z \u </w:instrText>
          </w:r>
          <w:r>
            <w:rPr>
              <w:rFonts w:hint="default" w:ascii="Times New Roman" w:hAnsi="Times New Roman" w:cs="Times New Roman"/>
              <w:sz w:val="24"/>
              <w:szCs w:val="24"/>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"_Toc192871650"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1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总则</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1</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"_Toc192871651"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2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术语</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2</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"_Toc192871652"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3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基本规定</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3</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"_Toc192871653"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4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系统</w:t>
          </w:r>
          <w:r>
            <w:rPr>
              <w:rStyle w:val="20"/>
              <w:rFonts w:hint="default" w:ascii="Times New Roman" w:hAnsi="Times New Roman" w:eastAsia="宋体" w:cs="Times New Roman"/>
              <w:bCs/>
              <w:sz w:val="24"/>
              <w:szCs w:val="24"/>
            </w:rPr>
            <w:t>组成</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4</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"_Toc192871654"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5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系统功能</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5</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"_Toc192871655"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6</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 xml:space="preserve"> </w:t>
          </w:r>
          <w:r>
            <w:rPr>
              <w:rStyle w:val="20"/>
              <w:rFonts w:hint="default" w:ascii="Times New Roman" w:hAnsi="Times New Roman" w:eastAsia="宋体" w:cs="Times New Roman"/>
              <w:bCs/>
              <w:sz w:val="24"/>
              <w:szCs w:val="24"/>
            </w:rPr>
            <w:t>系统设计</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6</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"_Toc192871656"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7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安装验收</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8</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"_Toc192871657"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8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运行维护</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9</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"_Toc192871658"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本标准用词说明</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10</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"_Toc192871659"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引用标准名录</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11</w:t>
          </w:r>
          <w:r>
            <w:rPr>
              <w:rFonts w:hint="eastAsia" w:cs="Times New Roman"/>
              <w:sz w:val="24"/>
              <w:szCs w:val="24"/>
              <w:lang w:eastAsia="zh-CN"/>
            </w:rPr>
            <w:t>）</w:t>
          </w:r>
        </w:p>
        <w:p>
          <w:pPr>
            <w:pStyle w:val="9"/>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cs="Times New Roman"/>
              <w:lang w:val="en-US" w:eastAsia="zh-CN"/>
            </w:rPr>
            <w:t>附：</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"_Toc192871660"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bCs/>
              <w:sz w:val="24"/>
              <w:szCs w:val="24"/>
            </w:rPr>
            <w:t>条文说明</w:t>
          </w:r>
          <w:r>
            <w:rPr>
              <w:rFonts w:hint="default" w:ascii="Times New Roman" w:hAnsi="Times New Roman" w:eastAsia="宋体" w:cs="Times New Roman"/>
              <w:sz w:val="24"/>
              <w:szCs w:val="24"/>
            </w:rPr>
            <w:tab/>
          </w:r>
          <w:r>
            <w:rPr>
              <w:rFonts w:hint="eastAsia" w:cs="Times New Roman"/>
              <w:sz w:val="24"/>
              <w:szCs w:val="24"/>
              <w:lang w:eastAsia="zh-CN"/>
            </w:rPr>
            <w:t>（</w:t>
          </w:r>
          <w:r>
            <w:rPr>
              <w:rFonts w:hint="eastAsia" w:cs="Times New Roman"/>
              <w:sz w:val="24"/>
              <w:szCs w:val="24"/>
              <w:lang w:val="en-US" w:eastAsia="zh-CN"/>
            </w:rPr>
            <w:t>12</w:t>
          </w:r>
          <w:r>
            <w:rPr>
              <w:rFonts w:hint="eastAsia" w:cs="Times New Roman"/>
              <w:sz w:val="24"/>
              <w:szCs w:val="24"/>
              <w:lang w:eastAsia="zh-CN"/>
            </w:rPr>
            <w:t>）</w:t>
          </w:r>
          <w:r>
            <w:rPr>
              <w:rFonts w:hint="default" w:ascii="Times New Roman" w:hAnsi="Times New Roman" w:eastAsia="宋体" w:cs="Times New Roman"/>
              <w:sz w:val="24"/>
              <w:szCs w:val="24"/>
            </w:rPr>
            <w:fldChar w:fldCharType="end"/>
          </w:r>
        </w:p>
        <w:p>
          <w:pPr>
            <w:spacing w:line="360" w:lineRule="auto"/>
            <w:rPr>
              <w:rFonts w:hint="eastAsia" w:ascii="黑体" w:hAnsi="黑体" w:eastAsia="黑体"/>
              <w:sz w:val="24"/>
              <w:szCs w:val="24"/>
            </w:rPr>
          </w:pPr>
          <w:r>
            <w:rPr>
              <w:rFonts w:hint="default" w:ascii="Times New Roman" w:hAnsi="Times New Roman" w:cs="Times New Roman"/>
              <w:b/>
              <w:bCs/>
              <w:sz w:val="24"/>
              <w:szCs w:val="24"/>
              <w:lang w:val="zh-CN"/>
            </w:rPr>
            <w:fldChar w:fldCharType="end"/>
          </w:r>
        </w:p>
      </w:sdtContent>
    </w:sdt>
    <w:p>
      <w:pPr>
        <w:adjustRightInd w:val="0"/>
        <w:snapToGrid w:val="0"/>
        <w:spacing w:line="360" w:lineRule="auto"/>
        <w:jc w:val="center"/>
        <w:outlineLvl w:val="0"/>
        <w:rPr>
          <w:rFonts w:hint="eastAsia" w:ascii="黑体" w:hAnsi="黑体" w:eastAsia="黑体"/>
          <w:sz w:val="24"/>
          <w:szCs w:val="24"/>
        </w:rPr>
      </w:pPr>
      <w:bookmarkStart w:id="3" w:name="_Toc33811174"/>
      <w:r>
        <w:rPr>
          <w:rFonts w:ascii="黑体" w:hAnsi="黑体" w:eastAsia="黑体"/>
          <w:sz w:val="24"/>
          <w:szCs w:val="24"/>
        </w:rPr>
        <w:br w:type="page"/>
      </w:r>
    </w:p>
    <w:p>
      <w:pPr>
        <w:jc w:val="center"/>
        <w:rPr>
          <w:rFonts w:hint="eastAsia" w:ascii="黑体" w:hAnsi="黑体" w:eastAsia="黑体"/>
          <w:sz w:val="24"/>
          <w:szCs w:val="24"/>
        </w:rPr>
      </w:pPr>
      <w:r>
        <w:rPr>
          <w:rFonts w:hint="eastAsia"/>
          <w:sz w:val="32"/>
          <w:szCs w:val="32"/>
          <w:lang w:val="zh-CN"/>
        </w:rPr>
        <w:t>Contents</w:t>
      </w:r>
    </w:p>
    <w:sdt>
      <w:sdtPr>
        <w:rPr>
          <w:sz w:val="24"/>
          <w:szCs w:val="24"/>
          <w:lang w:val="zh-CN"/>
        </w:rPr>
        <w:id w:val="-853409783"/>
        <w:docPartObj>
          <w:docPartGallery w:val="Table of Contents"/>
          <w:docPartUnique/>
        </w:docPartObj>
      </w:sdtPr>
      <w:sdtEndPr>
        <w:rPr>
          <w:b/>
          <w:bCs/>
          <w:sz w:val="24"/>
          <w:szCs w:val="24"/>
          <w:lang w:val="zh-CN"/>
        </w:rPr>
      </w:sdtEndPr>
      <w:sdtContent>
        <w:p>
          <w:pPr>
            <w:spacing w:line="360" w:lineRule="auto"/>
            <w:rPr>
              <w:sz w:val="24"/>
              <w:szCs w:val="24"/>
            </w:rPr>
          </w:pPr>
        </w:p>
        <w:p>
          <w:pPr>
            <w:pStyle w:val="9"/>
            <w:tabs>
              <w:tab w:val="right" w:leader="dot" w:pos="8302"/>
            </w:tabs>
            <w:spacing w:line="360" w:lineRule="auto"/>
            <w:rPr>
              <w:rFonts w:hint="eastAsia" w:eastAsia="宋体"/>
              <w:sz w:val="24"/>
              <w:szCs w:val="24"/>
              <w:lang w:eastAsia="zh-CN"/>
            </w:rPr>
          </w:pPr>
          <w:r>
            <w:rPr>
              <w:sz w:val="24"/>
              <w:szCs w:val="24"/>
            </w:rPr>
            <w:fldChar w:fldCharType="begin"/>
          </w:r>
          <w:r>
            <w:rPr>
              <w:sz w:val="24"/>
              <w:szCs w:val="24"/>
            </w:rPr>
            <w:instrText xml:space="preserve"> TOC \o "1-3" \h \z \u </w:instrText>
          </w:r>
          <w:r>
            <w:rPr>
              <w:sz w:val="24"/>
              <w:szCs w:val="24"/>
            </w:rPr>
            <w:fldChar w:fldCharType="separate"/>
          </w:r>
          <w:r>
            <w:fldChar w:fldCharType="begin"/>
          </w:r>
          <w:r>
            <w:instrText xml:space="preserve"> HYPERLINK \l "_Toc89864135" </w:instrText>
          </w:r>
          <w:r>
            <w:fldChar w:fldCharType="separate"/>
          </w:r>
          <w:r>
            <w:rPr>
              <w:rStyle w:val="20"/>
              <w:sz w:val="24"/>
              <w:szCs w:val="24"/>
            </w:rPr>
            <w:t>1  General Provisions</w:t>
          </w:r>
          <w:r>
            <w:rPr>
              <w:sz w:val="24"/>
              <w:szCs w:val="24"/>
            </w:rPr>
            <w:tab/>
          </w:r>
          <w:r>
            <w:rPr>
              <w:rFonts w:hint="eastAsia"/>
              <w:sz w:val="24"/>
              <w:szCs w:val="24"/>
              <w:lang w:val="en-US" w:eastAsia="zh-CN"/>
            </w:rPr>
            <w:t>（</w:t>
          </w:r>
          <w:r>
            <w:rPr>
              <w:sz w:val="24"/>
              <w:szCs w:val="24"/>
            </w:rPr>
            <w:fldChar w:fldCharType="end"/>
          </w:r>
          <w:r>
            <w:rPr>
              <w:rFonts w:hint="eastAsia"/>
              <w:sz w:val="24"/>
              <w:szCs w:val="24"/>
              <w:lang w:val="en-US" w:eastAsia="zh-CN"/>
            </w:rPr>
            <w:t>1</w:t>
          </w:r>
          <w:r>
            <w:rPr>
              <w:rFonts w:hint="eastAsia"/>
              <w:sz w:val="24"/>
              <w:szCs w:val="24"/>
              <w:lang w:eastAsia="zh-CN"/>
            </w:rPr>
            <w:t>）</w:t>
          </w:r>
        </w:p>
        <w:p>
          <w:pPr>
            <w:pStyle w:val="9"/>
            <w:tabs>
              <w:tab w:val="right" w:leader="dot" w:pos="8302"/>
            </w:tabs>
            <w:spacing w:line="360" w:lineRule="auto"/>
            <w:rPr>
              <w:rFonts w:hint="eastAsia" w:eastAsia="宋体"/>
              <w:sz w:val="24"/>
              <w:szCs w:val="24"/>
              <w:lang w:eastAsia="zh-CN"/>
            </w:rPr>
          </w:pPr>
          <w:r>
            <w:fldChar w:fldCharType="begin"/>
          </w:r>
          <w:r>
            <w:instrText xml:space="preserve"> HYPERLINK \l "_Toc89864136" </w:instrText>
          </w:r>
          <w:r>
            <w:fldChar w:fldCharType="separate"/>
          </w:r>
          <w:r>
            <w:rPr>
              <w:rStyle w:val="20"/>
              <w:sz w:val="24"/>
              <w:szCs w:val="24"/>
            </w:rPr>
            <w:t>2  Terms</w:t>
          </w:r>
          <w:r>
            <w:rPr>
              <w:sz w:val="24"/>
              <w:szCs w:val="24"/>
            </w:rPr>
            <w:tab/>
          </w:r>
          <w:r>
            <w:rPr>
              <w:rFonts w:hint="eastAsia"/>
              <w:sz w:val="24"/>
              <w:szCs w:val="24"/>
              <w:lang w:val="en-US" w:eastAsia="zh-CN"/>
            </w:rPr>
            <w:t>（</w:t>
          </w:r>
          <w:r>
            <w:rPr>
              <w:sz w:val="24"/>
              <w:szCs w:val="24"/>
            </w:rPr>
            <w:fldChar w:fldCharType="end"/>
          </w:r>
          <w:r>
            <w:rPr>
              <w:rFonts w:hint="eastAsia"/>
              <w:sz w:val="24"/>
              <w:szCs w:val="24"/>
              <w:lang w:val="en-US" w:eastAsia="zh-CN"/>
            </w:rPr>
            <w:t>2</w:t>
          </w:r>
          <w:r>
            <w:rPr>
              <w:rFonts w:hint="eastAsia"/>
              <w:sz w:val="24"/>
              <w:szCs w:val="24"/>
              <w:lang w:eastAsia="zh-CN"/>
            </w:rPr>
            <w:t>）</w:t>
          </w:r>
        </w:p>
        <w:p>
          <w:pPr>
            <w:pStyle w:val="9"/>
            <w:tabs>
              <w:tab w:val="right" w:leader="dot" w:pos="8302"/>
            </w:tabs>
            <w:spacing w:line="360" w:lineRule="auto"/>
            <w:rPr>
              <w:rFonts w:hint="eastAsia" w:eastAsia="宋体"/>
              <w:sz w:val="24"/>
              <w:szCs w:val="24"/>
              <w:lang w:eastAsia="zh-CN"/>
            </w:rPr>
          </w:pPr>
          <w:r>
            <w:fldChar w:fldCharType="begin"/>
          </w:r>
          <w:r>
            <w:instrText xml:space="preserve"> HYPERLINK \l "_Toc89864137" </w:instrText>
          </w:r>
          <w:r>
            <w:fldChar w:fldCharType="separate"/>
          </w:r>
          <w:r>
            <w:rPr>
              <w:rStyle w:val="20"/>
              <w:sz w:val="24"/>
              <w:szCs w:val="24"/>
            </w:rPr>
            <w:t>3  Basic Requirements</w:t>
          </w:r>
          <w:r>
            <w:rPr>
              <w:sz w:val="24"/>
              <w:szCs w:val="24"/>
            </w:rPr>
            <w:tab/>
          </w:r>
          <w:r>
            <w:rPr>
              <w:rFonts w:hint="eastAsia"/>
              <w:sz w:val="24"/>
              <w:szCs w:val="24"/>
              <w:lang w:val="en-US" w:eastAsia="zh-CN"/>
            </w:rPr>
            <w:t>（</w:t>
          </w:r>
          <w:r>
            <w:rPr>
              <w:sz w:val="24"/>
              <w:szCs w:val="24"/>
            </w:rPr>
            <w:fldChar w:fldCharType="end"/>
          </w:r>
          <w:r>
            <w:rPr>
              <w:rFonts w:hint="eastAsia"/>
              <w:sz w:val="24"/>
              <w:szCs w:val="24"/>
              <w:lang w:val="en-US" w:eastAsia="zh-CN"/>
            </w:rPr>
            <w:t>3</w:t>
          </w:r>
          <w:r>
            <w:rPr>
              <w:rFonts w:hint="eastAsia"/>
              <w:sz w:val="24"/>
              <w:szCs w:val="24"/>
              <w:lang w:eastAsia="zh-CN"/>
            </w:rPr>
            <w:t>）</w:t>
          </w:r>
        </w:p>
        <w:p>
          <w:pPr>
            <w:pStyle w:val="9"/>
            <w:tabs>
              <w:tab w:val="right" w:leader="dot" w:pos="8302"/>
            </w:tabs>
            <w:spacing w:line="360" w:lineRule="auto"/>
            <w:rPr>
              <w:rFonts w:hint="eastAsia" w:eastAsia="宋体"/>
              <w:sz w:val="24"/>
              <w:szCs w:val="24"/>
              <w:lang w:eastAsia="zh-CN"/>
            </w:rPr>
          </w:pPr>
          <w:r>
            <w:fldChar w:fldCharType="begin"/>
          </w:r>
          <w:r>
            <w:instrText xml:space="preserve"> HYPERLINK \l "_Toc89864138" </w:instrText>
          </w:r>
          <w:r>
            <w:fldChar w:fldCharType="separate"/>
          </w:r>
          <w:r>
            <w:rPr>
              <w:rStyle w:val="20"/>
              <w:sz w:val="24"/>
              <w:szCs w:val="24"/>
            </w:rPr>
            <w:t>4  System Composition</w:t>
          </w:r>
          <w:r>
            <w:rPr>
              <w:sz w:val="24"/>
              <w:szCs w:val="24"/>
            </w:rPr>
            <w:tab/>
          </w:r>
          <w:r>
            <w:rPr>
              <w:rFonts w:hint="eastAsia"/>
              <w:sz w:val="24"/>
              <w:szCs w:val="24"/>
              <w:lang w:val="en-US" w:eastAsia="zh-CN"/>
            </w:rPr>
            <w:t>（</w:t>
          </w:r>
          <w:r>
            <w:rPr>
              <w:sz w:val="24"/>
              <w:szCs w:val="24"/>
            </w:rPr>
            <w:fldChar w:fldCharType="end"/>
          </w:r>
          <w:r>
            <w:rPr>
              <w:rFonts w:hint="eastAsia"/>
              <w:sz w:val="24"/>
              <w:szCs w:val="24"/>
              <w:lang w:val="en-US" w:eastAsia="zh-CN"/>
            </w:rPr>
            <w:t>4</w:t>
          </w:r>
          <w:r>
            <w:rPr>
              <w:rFonts w:hint="eastAsia"/>
              <w:sz w:val="24"/>
              <w:szCs w:val="24"/>
              <w:lang w:eastAsia="zh-CN"/>
            </w:rPr>
            <w:t>）</w:t>
          </w:r>
        </w:p>
        <w:p>
          <w:pPr>
            <w:pStyle w:val="9"/>
            <w:tabs>
              <w:tab w:val="right" w:leader="dot" w:pos="8302"/>
            </w:tabs>
            <w:spacing w:line="360" w:lineRule="auto"/>
            <w:rPr>
              <w:rFonts w:hint="eastAsia" w:eastAsia="宋体"/>
              <w:sz w:val="24"/>
              <w:szCs w:val="24"/>
              <w:lang w:eastAsia="zh-CN"/>
            </w:rPr>
          </w:pPr>
          <w:r>
            <w:fldChar w:fldCharType="begin"/>
          </w:r>
          <w:r>
            <w:instrText xml:space="preserve"> HYPERLINK \l "_Toc89864143" </w:instrText>
          </w:r>
          <w:r>
            <w:fldChar w:fldCharType="separate"/>
          </w:r>
          <w:r>
            <w:rPr>
              <w:rStyle w:val="20"/>
              <w:sz w:val="24"/>
              <w:szCs w:val="24"/>
            </w:rPr>
            <w:t>5  System Funcion</w:t>
          </w:r>
          <w:r>
            <w:rPr>
              <w:sz w:val="24"/>
              <w:szCs w:val="24"/>
            </w:rPr>
            <w:tab/>
          </w:r>
          <w:r>
            <w:rPr>
              <w:sz w:val="24"/>
              <w:szCs w:val="24"/>
            </w:rPr>
            <w:fldChar w:fldCharType="end"/>
          </w:r>
          <w:r>
            <w:rPr>
              <w:rFonts w:hint="eastAsia"/>
              <w:sz w:val="24"/>
              <w:szCs w:val="24"/>
              <w:lang w:val="en-US" w:eastAsia="zh-CN"/>
            </w:rPr>
            <w:t>（5）</w:t>
          </w:r>
        </w:p>
        <w:p>
          <w:pPr>
            <w:pStyle w:val="9"/>
            <w:tabs>
              <w:tab w:val="right" w:leader="dot" w:pos="8302"/>
            </w:tabs>
            <w:spacing w:line="360" w:lineRule="auto"/>
            <w:rPr>
              <w:rFonts w:hint="eastAsia" w:eastAsia="宋体"/>
              <w:sz w:val="24"/>
              <w:szCs w:val="24"/>
              <w:lang w:val="en-US" w:eastAsia="zh-CN"/>
            </w:rPr>
          </w:pPr>
          <w:r>
            <w:fldChar w:fldCharType="begin"/>
          </w:r>
          <w:r>
            <w:instrText xml:space="preserve"> HYPERLINK \l "_Toc89864147" </w:instrText>
          </w:r>
          <w:r>
            <w:fldChar w:fldCharType="separate"/>
          </w:r>
          <w:r>
            <w:rPr>
              <w:rStyle w:val="20"/>
              <w:sz w:val="24"/>
              <w:szCs w:val="24"/>
            </w:rPr>
            <w:t>6  System Design</w:t>
          </w:r>
          <w:r>
            <w:rPr>
              <w:sz w:val="24"/>
              <w:szCs w:val="24"/>
            </w:rPr>
            <w:tab/>
          </w:r>
          <w:r>
            <w:rPr>
              <w:rFonts w:hint="eastAsia"/>
              <w:sz w:val="24"/>
              <w:szCs w:val="24"/>
              <w:lang w:val="en-US" w:eastAsia="zh-CN"/>
            </w:rPr>
            <w:t>（</w:t>
          </w:r>
          <w:r>
            <w:rPr>
              <w:sz w:val="24"/>
              <w:szCs w:val="24"/>
            </w:rPr>
            <w:fldChar w:fldCharType="end"/>
          </w:r>
          <w:r>
            <w:rPr>
              <w:rFonts w:hint="eastAsia"/>
              <w:sz w:val="24"/>
              <w:szCs w:val="24"/>
              <w:lang w:val="en-US" w:eastAsia="zh-CN"/>
            </w:rPr>
            <w:t>6</w:t>
          </w:r>
          <w:r>
            <w:rPr>
              <w:rFonts w:hint="eastAsia"/>
              <w:sz w:val="24"/>
              <w:szCs w:val="24"/>
              <w:lang w:eastAsia="zh-CN"/>
            </w:rPr>
            <w:t>）</w:t>
          </w:r>
        </w:p>
        <w:p>
          <w:pPr>
            <w:pStyle w:val="9"/>
            <w:tabs>
              <w:tab w:val="right" w:leader="dot" w:pos="8302"/>
            </w:tabs>
            <w:spacing w:line="360" w:lineRule="auto"/>
            <w:rPr>
              <w:rFonts w:hint="eastAsia" w:eastAsia="宋体"/>
              <w:sz w:val="24"/>
              <w:szCs w:val="24"/>
              <w:lang w:val="en-US" w:eastAsia="zh-CN"/>
            </w:rPr>
          </w:pPr>
          <w:r>
            <w:fldChar w:fldCharType="begin"/>
          </w:r>
          <w:r>
            <w:instrText xml:space="preserve"> HYPERLINK \l "_Toc89864152" </w:instrText>
          </w:r>
          <w:r>
            <w:fldChar w:fldCharType="separate"/>
          </w:r>
          <w:r>
            <w:rPr>
              <w:rStyle w:val="20"/>
              <w:sz w:val="24"/>
              <w:szCs w:val="24"/>
            </w:rPr>
            <w:t>7  Installation and</w:t>
          </w:r>
          <w:r>
            <w:rPr>
              <w:sz w:val="24"/>
              <w:szCs w:val="24"/>
            </w:rPr>
            <w:t xml:space="preserve"> </w:t>
          </w:r>
          <w:r>
            <w:rPr>
              <w:rStyle w:val="20"/>
              <w:sz w:val="24"/>
              <w:szCs w:val="24"/>
            </w:rPr>
            <w:t>Acceptance</w:t>
          </w:r>
          <w:r>
            <w:rPr>
              <w:sz w:val="24"/>
              <w:szCs w:val="24"/>
            </w:rPr>
            <w:tab/>
          </w:r>
          <w:r>
            <w:rPr>
              <w:rFonts w:hint="eastAsia"/>
              <w:sz w:val="24"/>
              <w:szCs w:val="24"/>
              <w:lang w:val="en-US" w:eastAsia="zh-CN"/>
            </w:rPr>
            <w:t>（</w:t>
          </w:r>
          <w:r>
            <w:rPr>
              <w:sz w:val="24"/>
              <w:szCs w:val="24"/>
            </w:rPr>
            <w:fldChar w:fldCharType="end"/>
          </w:r>
          <w:r>
            <w:rPr>
              <w:rFonts w:hint="eastAsia"/>
              <w:sz w:val="24"/>
              <w:szCs w:val="24"/>
              <w:lang w:val="en-US" w:eastAsia="zh-CN"/>
            </w:rPr>
            <w:t>8</w:t>
          </w:r>
          <w:r>
            <w:rPr>
              <w:rFonts w:hint="eastAsia"/>
              <w:sz w:val="24"/>
              <w:szCs w:val="24"/>
              <w:lang w:eastAsia="zh-CN"/>
            </w:rPr>
            <w:t>）</w:t>
          </w:r>
        </w:p>
        <w:p>
          <w:pPr>
            <w:pStyle w:val="9"/>
            <w:tabs>
              <w:tab w:val="right" w:leader="dot" w:pos="8302"/>
            </w:tabs>
            <w:spacing w:line="360" w:lineRule="auto"/>
            <w:rPr>
              <w:rFonts w:hint="default" w:eastAsia="宋体"/>
              <w:sz w:val="24"/>
              <w:szCs w:val="24"/>
              <w:lang w:val="en-US" w:eastAsia="zh-CN"/>
            </w:rPr>
          </w:pPr>
          <w:r>
            <w:fldChar w:fldCharType="begin"/>
          </w:r>
          <w:r>
            <w:instrText xml:space="preserve"> HYPERLINK \l "_Toc89864155" </w:instrText>
          </w:r>
          <w:r>
            <w:fldChar w:fldCharType="separate"/>
          </w:r>
          <w:r>
            <w:rPr>
              <w:rStyle w:val="20"/>
              <w:sz w:val="24"/>
              <w:szCs w:val="24"/>
            </w:rPr>
            <w:t xml:space="preserve">8  Operation and Maintenance </w:t>
          </w:r>
          <w:r>
            <w:rPr>
              <w:sz w:val="24"/>
              <w:szCs w:val="24"/>
            </w:rPr>
            <w:tab/>
          </w:r>
          <w:r>
            <w:rPr>
              <w:sz w:val="24"/>
              <w:szCs w:val="24"/>
            </w:rPr>
            <w:fldChar w:fldCharType="end"/>
          </w:r>
          <w:r>
            <w:rPr>
              <w:rFonts w:hint="eastAsia"/>
              <w:sz w:val="24"/>
              <w:szCs w:val="24"/>
              <w:lang w:val="en-US" w:eastAsia="zh-CN"/>
            </w:rPr>
            <w:t>（9）</w:t>
          </w:r>
        </w:p>
        <w:p>
          <w:pPr>
            <w:pStyle w:val="9"/>
            <w:tabs>
              <w:tab w:val="right" w:leader="dot" w:pos="8302"/>
            </w:tabs>
            <w:spacing w:line="360" w:lineRule="auto"/>
            <w:rPr>
              <w:rFonts w:hint="default" w:eastAsia="宋体"/>
              <w:sz w:val="24"/>
              <w:szCs w:val="24"/>
              <w:lang w:val="en-US" w:eastAsia="zh-CN"/>
            </w:rPr>
          </w:pPr>
          <w:r>
            <w:rPr>
              <w:b/>
              <w:bCs/>
              <w:sz w:val="24"/>
              <w:szCs w:val="24"/>
              <w:lang w:val="zh-CN"/>
            </w:rPr>
            <w:fldChar w:fldCharType="end"/>
          </w:r>
          <w:r>
            <w:rPr>
              <w:rFonts w:hint="default"/>
              <w:b w:val="0"/>
              <w:bCs w:val="0"/>
              <w:color w:val="000000" w:themeColor="text1"/>
              <w:sz w:val="24"/>
              <w:szCs w:val="24"/>
              <w:lang w:val="zh-CN"/>
              <w14:textFill>
                <w14:solidFill>
                  <w14:schemeClr w14:val="tx1"/>
                </w14:solidFill>
              </w14:textFill>
            </w:rPr>
            <w:t xml:space="preserve">Explanation of </w:t>
          </w:r>
          <w:r>
            <w:rPr>
              <w:rFonts w:hint="eastAsia"/>
              <w:b w:val="0"/>
              <w:bCs w:val="0"/>
              <w:color w:val="000000" w:themeColor="text1"/>
              <w:sz w:val="24"/>
              <w:szCs w:val="24"/>
              <w:lang w:val="en-US" w:eastAsia="zh-CN"/>
              <w14:textFill>
                <w14:solidFill>
                  <w14:schemeClr w14:val="tx1"/>
                </w14:solidFill>
              </w14:textFill>
            </w:rPr>
            <w:t>W</w:t>
          </w:r>
          <w:r>
            <w:rPr>
              <w:rFonts w:hint="default"/>
              <w:b w:val="0"/>
              <w:bCs w:val="0"/>
              <w:color w:val="000000" w:themeColor="text1"/>
              <w:sz w:val="24"/>
              <w:szCs w:val="24"/>
              <w:lang w:val="zh-CN"/>
              <w14:textFill>
                <w14:solidFill>
                  <w14:schemeClr w14:val="tx1"/>
                </w14:solidFill>
              </w14:textFill>
            </w:rPr>
            <w:t>ording in</w:t>
          </w:r>
          <w:r>
            <w:rPr>
              <w:rFonts w:hint="eastAsia"/>
              <w:b w:val="0"/>
              <w:bCs w:val="0"/>
              <w:color w:val="000000" w:themeColor="text1"/>
              <w:sz w:val="24"/>
              <w:szCs w:val="24"/>
              <w:lang w:val="en-US" w:eastAsia="zh-CN"/>
              <w14:textFill>
                <w14:solidFill>
                  <w14:schemeClr w14:val="tx1"/>
                </w14:solidFill>
              </w14:textFill>
            </w:rPr>
            <w:t>T</w:t>
          </w:r>
          <w:r>
            <w:rPr>
              <w:rFonts w:hint="default"/>
              <w:b w:val="0"/>
              <w:bCs w:val="0"/>
              <w:color w:val="000000" w:themeColor="text1"/>
              <w:sz w:val="24"/>
              <w:szCs w:val="24"/>
              <w:lang w:val="zh-CN"/>
              <w14:textFill>
                <w14:solidFill>
                  <w14:schemeClr w14:val="tx1"/>
                </w14:solidFill>
              </w14:textFill>
            </w:rPr>
            <w:t xml:space="preserve">his </w:t>
          </w:r>
          <w:r>
            <w:rPr>
              <w:rFonts w:hint="eastAsia"/>
              <w:b w:val="0"/>
              <w:bCs w:val="0"/>
              <w:color w:val="000000" w:themeColor="text1"/>
              <w:sz w:val="24"/>
              <w:szCs w:val="24"/>
              <w:lang w:val="en-US" w:eastAsia="zh-CN"/>
              <w14:textFill>
                <w14:solidFill>
                  <w14:schemeClr w14:val="tx1"/>
                </w14:solidFill>
              </w14:textFill>
            </w:rPr>
            <w:t>C</w:t>
          </w:r>
          <w:r>
            <w:rPr>
              <w:rFonts w:hint="default"/>
              <w:b w:val="0"/>
              <w:bCs w:val="0"/>
              <w:color w:val="000000" w:themeColor="text1"/>
              <w:sz w:val="24"/>
              <w:szCs w:val="24"/>
              <w:lang w:val="zh-CN"/>
              <w14:textFill>
                <w14:solidFill>
                  <w14:schemeClr w14:val="tx1"/>
                </w14:solidFill>
              </w14:textFill>
            </w:rPr>
            <w:t>ode</w:t>
          </w:r>
          <w:r>
            <w:rPr>
              <w:sz w:val="24"/>
              <w:szCs w:val="24"/>
            </w:rPr>
            <w:tab/>
          </w:r>
          <w:r>
            <w:rPr>
              <w:rFonts w:hint="eastAsia"/>
              <w:sz w:val="24"/>
              <w:szCs w:val="24"/>
              <w:lang w:val="en-US" w:eastAsia="zh-CN"/>
            </w:rPr>
            <w:t>（10）</w:t>
          </w:r>
        </w:p>
        <w:p>
          <w:pPr>
            <w:pStyle w:val="9"/>
            <w:tabs>
              <w:tab w:val="right" w:leader="dot" w:pos="8302"/>
            </w:tabs>
            <w:spacing w:line="360" w:lineRule="auto"/>
            <w:rPr>
              <w:rFonts w:hint="eastAsia" w:eastAsia="宋体"/>
              <w:sz w:val="24"/>
              <w:szCs w:val="24"/>
              <w:lang w:val="en-US" w:eastAsia="zh-CN"/>
            </w:rPr>
          </w:pPr>
          <w:r>
            <w:rPr>
              <w:sz w:val="24"/>
              <w:szCs w:val="24"/>
            </w:rPr>
            <w:t>List of Quoted Standards</w:t>
          </w:r>
          <w:r>
            <w:rPr>
              <w:sz w:val="24"/>
              <w:szCs w:val="24"/>
            </w:rPr>
            <w:tab/>
          </w:r>
          <w:r>
            <w:rPr>
              <w:rFonts w:hint="eastAsia"/>
              <w:sz w:val="24"/>
              <w:szCs w:val="24"/>
              <w:lang w:eastAsia="zh-CN"/>
            </w:rPr>
            <w:t>（</w:t>
          </w:r>
          <w:r>
            <w:rPr>
              <w:rFonts w:hint="eastAsia"/>
              <w:sz w:val="24"/>
              <w:szCs w:val="24"/>
              <w:lang w:val="en-US" w:eastAsia="zh-CN"/>
            </w:rPr>
            <w:t>11</w:t>
          </w:r>
          <w:r>
            <w:rPr>
              <w:rFonts w:hint="eastAsia"/>
              <w:sz w:val="24"/>
              <w:szCs w:val="24"/>
              <w:lang w:eastAsia="zh-CN"/>
            </w:rPr>
            <w:t>）</w:t>
          </w:r>
        </w:p>
        <w:p>
          <w:pPr>
            <w:pStyle w:val="9"/>
            <w:tabs>
              <w:tab w:val="right" w:leader="dot" w:pos="8302"/>
            </w:tabs>
            <w:spacing w:line="360" w:lineRule="auto"/>
            <w:rPr>
              <w:rFonts w:hint="eastAsia" w:eastAsia="宋体"/>
              <w:sz w:val="24"/>
              <w:szCs w:val="24"/>
              <w:lang w:val="en-US" w:eastAsia="zh-CN"/>
            </w:rPr>
          </w:pPr>
          <w:r>
            <w:rPr>
              <w:color w:val="000000" w:themeColor="text1"/>
              <w:sz w:val="24"/>
              <w:szCs w:val="24"/>
              <w14:textFill>
                <w14:solidFill>
                  <w14:schemeClr w14:val="tx1"/>
                </w14:solidFill>
              </w14:textFill>
            </w:rPr>
            <w:t>Addition</w:t>
          </w:r>
          <w:r>
            <w:rPr>
              <w:rFonts w:hint="eastAsia"/>
              <w:color w:val="000000" w:themeColor="text1"/>
              <w:sz w:val="24"/>
              <w:szCs w:val="24"/>
              <w:lang w:val="en-US" w:eastAsia="zh-CN"/>
              <w14:textFill>
                <w14:solidFill>
                  <w14:schemeClr w14:val="tx1"/>
                </w14:solidFill>
              </w14:textFill>
            </w:rPr>
            <w:t>:</w:t>
          </w:r>
          <w:r>
            <w:rPr>
              <w:sz w:val="24"/>
              <w:szCs w:val="24"/>
            </w:rPr>
            <w:t>Explanation of Provisions</w:t>
          </w:r>
          <w:r>
            <w:rPr>
              <w:sz w:val="24"/>
              <w:szCs w:val="24"/>
            </w:rPr>
            <w:tab/>
          </w:r>
          <w:r>
            <w:rPr>
              <w:rFonts w:hint="eastAsia"/>
              <w:sz w:val="24"/>
              <w:szCs w:val="24"/>
              <w:lang w:eastAsia="zh-CN"/>
            </w:rPr>
            <w:t>（</w:t>
          </w:r>
          <w:r>
            <w:rPr>
              <w:rFonts w:hint="eastAsia"/>
              <w:sz w:val="24"/>
              <w:szCs w:val="24"/>
              <w:lang w:val="en-US" w:eastAsia="zh-CN"/>
            </w:rPr>
            <w:t>12</w:t>
          </w:r>
          <w:r>
            <w:rPr>
              <w:rFonts w:hint="eastAsia"/>
              <w:sz w:val="24"/>
              <w:szCs w:val="24"/>
              <w:lang w:eastAsia="zh-CN"/>
            </w:rPr>
            <w:t>）</w:t>
          </w:r>
        </w:p>
        <w:p>
          <w:pPr>
            <w:spacing w:line="360" w:lineRule="auto"/>
            <w:rPr>
              <w:sz w:val="24"/>
              <w:szCs w:val="24"/>
            </w:rPr>
          </w:pPr>
        </w:p>
      </w:sdtContent>
    </w:sdt>
    <w:p>
      <w:pPr>
        <w:adjustRightInd w:val="0"/>
        <w:snapToGrid w:val="0"/>
        <w:spacing w:line="288" w:lineRule="auto"/>
        <w:jc w:val="left"/>
        <w:rPr>
          <w:rFonts w:hint="eastAsia" w:ascii="黑体" w:hAnsi="黑体" w:eastAsia="黑体"/>
          <w:sz w:val="24"/>
          <w:szCs w:val="24"/>
        </w:rPr>
      </w:pPr>
    </w:p>
    <w:p>
      <w:pPr>
        <w:adjustRightInd w:val="0"/>
        <w:snapToGrid w:val="0"/>
        <w:spacing w:line="360" w:lineRule="auto"/>
        <w:jc w:val="center"/>
        <w:outlineLvl w:val="0"/>
        <w:rPr>
          <w:rFonts w:hint="eastAsia" w:ascii="黑体" w:hAnsi="黑体" w:eastAsia="黑体"/>
          <w:sz w:val="28"/>
          <w:szCs w:val="28"/>
        </w:rPr>
        <w:sectPr>
          <w:pgSz w:w="11906" w:h="16838"/>
          <w:pgMar w:top="1440" w:right="1797" w:bottom="1440" w:left="1797" w:header="851" w:footer="584"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4" w:name="_Toc90114511"/>
      <w:bookmarkStart w:id="5" w:name="_Toc187409875"/>
      <w:bookmarkStart w:id="6" w:name="_Toc192872054"/>
      <w:bookmarkStart w:id="7" w:name="_Toc192871650"/>
      <w:bookmarkStart w:id="8" w:name="_Toc89867327"/>
      <w:r>
        <w:rPr>
          <w:rFonts w:hint="eastAsia" w:ascii="Times New Roman" w:hAnsi="Times New Roman" w:eastAsia="宋体" w:cs="Times New Roman"/>
          <w:b/>
          <w:bCs/>
          <w:color w:val="000000" w:themeColor="text1"/>
          <w:sz w:val="30"/>
          <w:szCs w:val="30"/>
          <w14:textFill>
            <w14:solidFill>
              <w14:schemeClr w14:val="tx1"/>
            </w14:solidFill>
          </w14:textFill>
        </w:rPr>
        <w:t xml:space="preserve">1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总  则</w:t>
      </w:r>
      <w:bookmarkEnd w:id="3"/>
      <w:bookmarkEnd w:id="4"/>
      <w:bookmarkEnd w:id="5"/>
      <w:bookmarkEnd w:id="6"/>
      <w:bookmarkEnd w:id="7"/>
      <w:bookmarkEnd w:id="8"/>
    </w:p>
    <w:p>
      <w:pPr>
        <w:pStyle w:val="32"/>
        <w:adjustRightInd w:val="0"/>
        <w:snapToGrid w:val="0"/>
        <w:spacing w:line="360" w:lineRule="auto"/>
        <w:ind w:firstLine="0" w:firstLineChars="0"/>
        <w:jc w:val="left"/>
        <w:rPr>
          <w:rFonts w:hint="eastAsia" w:ascii="宋体" w:hAnsi="宋体" w:eastAsia="宋体" w:cs="宋体"/>
          <w:sz w:val="24"/>
          <w:szCs w:val="24"/>
        </w:rPr>
      </w:pPr>
      <w:bookmarkStart w:id="9" w:name="OLE_LINK1"/>
      <w:bookmarkStart w:id="10" w:name="_Hlk193897905"/>
      <w:r>
        <w:rPr>
          <w:rFonts w:hint="default" w:ascii="Times New Roman" w:hAnsi="Times New Roman" w:eastAsia="宋体" w:cs="Times New Roman"/>
          <w:b/>
          <w:bCs/>
          <w:sz w:val="24"/>
          <w:szCs w:val="24"/>
        </w:rPr>
        <w:t>1.0.1</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为了规范石油和化工企业雷电预警系统的设计，做到安全可靠、技术先进、质量优良，促进石油和化工行业雷电预警的总体水平提升，制定本规范。</w:t>
      </w:r>
    </w:p>
    <w:p>
      <w:pPr>
        <w:pStyle w:val="32"/>
        <w:adjustRightInd w:val="0"/>
        <w:snapToGrid w:val="0"/>
        <w:spacing w:line="360" w:lineRule="auto"/>
        <w:ind w:firstLine="0" w:firstLineChars="0"/>
        <w:jc w:val="left"/>
        <w:rPr>
          <w:rFonts w:hint="eastAsia" w:ascii="宋体" w:hAnsi="宋体" w:eastAsia="宋体" w:cs="宋体"/>
          <w:sz w:val="24"/>
          <w:szCs w:val="24"/>
        </w:rPr>
      </w:pPr>
      <w:r>
        <w:rPr>
          <w:rFonts w:hint="eastAsia" w:ascii="Times New Roman" w:hAnsi="Times New Roman" w:eastAsia="宋体" w:cs="Times New Roman"/>
          <w:b/>
          <w:bCs/>
          <w:sz w:val="24"/>
          <w:szCs w:val="24"/>
        </w:rPr>
        <w:t>1.0.2</w:t>
      </w:r>
      <w:r>
        <w:rPr>
          <w:rFonts w:hint="eastAsia" w:ascii="宋体" w:hAnsi="宋体" w:eastAsia="宋体" w:cs="宋体"/>
          <w:b/>
          <w:bCs/>
          <w:sz w:val="24"/>
          <w:szCs w:val="24"/>
        </w:rPr>
        <w:t xml:space="preserve"> </w:t>
      </w:r>
      <w:r>
        <w:rPr>
          <w:rFonts w:hint="eastAsia" w:ascii="宋体" w:hAnsi="宋体" w:cs="宋体"/>
          <w:b/>
          <w:bCs/>
          <w:sz w:val="24"/>
          <w:szCs w:val="24"/>
          <w:lang w:val="en-US" w:eastAsia="zh-CN"/>
        </w:rPr>
        <w:t xml:space="preserve"> </w:t>
      </w:r>
      <w:r>
        <w:rPr>
          <w:rFonts w:hint="eastAsia" w:ascii="宋体" w:hAnsi="宋体" w:eastAsia="宋体" w:cs="宋体"/>
          <w:sz w:val="24"/>
          <w:szCs w:val="24"/>
        </w:rPr>
        <w:t>本规范适用于新建、改建和扩建的石油和化工企业雷电预警系统的设计、安装、验收、运行与维护。</w:t>
      </w:r>
    </w:p>
    <w:p>
      <w:pPr>
        <w:pStyle w:val="32"/>
        <w:adjustRightInd w:val="0"/>
        <w:snapToGrid w:val="0"/>
        <w:spacing w:line="360" w:lineRule="auto"/>
        <w:ind w:firstLine="0" w:firstLineChars="0"/>
        <w:rPr>
          <w:rFonts w:hint="eastAsia" w:ascii="宋体" w:hAnsi="宋体" w:eastAsia="宋体" w:cs="宋体"/>
          <w:sz w:val="24"/>
          <w:szCs w:val="24"/>
        </w:rPr>
      </w:pPr>
      <w:r>
        <w:rPr>
          <w:rFonts w:hint="eastAsia" w:ascii="Times New Roman" w:hAnsi="Times New Roman" w:eastAsia="宋体" w:cs="Times New Roman"/>
          <w:b/>
          <w:bCs/>
          <w:sz w:val="24"/>
          <w:szCs w:val="24"/>
        </w:rPr>
        <w:t>1.0.3</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石油和化工企业雷电预警系统的设计、安装、验收、运行与维护除应符合本规范外，尚应符合国家现行有关标准的规定。</w:t>
      </w:r>
    </w:p>
    <w:bookmarkEnd w:id="9"/>
    <w:bookmarkEnd w:id="10"/>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宋体" w:hAnsi="宋体"/>
          <w:sz w:val="32"/>
          <w:szCs w:val="32"/>
        </w:rPr>
      </w:pPr>
      <w:r>
        <w:rPr>
          <w:rFonts w:ascii="黑体" w:hAnsi="黑体" w:eastAsia="黑体"/>
          <w:sz w:val="24"/>
          <w:szCs w:val="24"/>
        </w:rPr>
        <w:br w:type="page"/>
      </w:r>
      <w:bookmarkStart w:id="11" w:name="_Toc192872055"/>
      <w:bookmarkStart w:id="12" w:name="_Toc192871651"/>
      <w:bookmarkStart w:id="13" w:name="_Toc90114512"/>
      <w:bookmarkStart w:id="14" w:name="_Toc89867328"/>
      <w:bookmarkStart w:id="15" w:name="_Toc187409876"/>
      <w:bookmarkStart w:id="16" w:name="_Toc33811175"/>
      <w:r>
        <w:rPr>
          <w:rFonts w:hint="eastAsia" w:ascii="Times New Roman" w:hAnsi="Times New Roman" w:eastAsia="宋体" w:cs="Times New Roman"/>
          <w:b/>
          <w:bCs/>
          <w:color w:val="000000" w:themeColor="text1"/>
          <w:sz w:val="30"/>
          <w:szCs w:val="30"/>
          <w14:textFill>
            <w14:solidFill>
              <w14:schemeClr w14:val="tx1"/>
            </w14:solidFill>
          </w14:textFill>
        </w:rPr>
        <w:t xml:space="preserve">2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术  语</w:t>
      </w:r>
      <w:bookmarkEnd w:id="11"/>
      <w:bookmarkEnd w:id="12"/>
      <w:bookmarkEnd w:id="13"/>
      <w:bookmarkEnd w:id="14"/>
      <w:bookmarkEnd w:id="15"/>
      <w:bookmarkEnd w:id="16"/>
    </w:p>
    <w:p>
      <w:pPr>
        <w:spacing w:line="360" w:lineRule="auto"/>
        <w:rPr>
          <w:rFonts w:hint="eastAsia" w:ascii="Times New Roman" w:hAnsi="Times New Roman" w:eastAsia="宋体" w:cs="Times New Roman"/>
          <w:b/>
          <w:bCs/>
          <w:kern w:val="2"/>
          <w:sz w:val="24"/>
          <w:szCs w:val="24"/>
          <w:lang w:val="en-US" w:eastAsia="zh-CN" w:bidi="ar-SA"/>
        </w:rPr>
      </w:pPr>
      <w:bookmarkStart w:id="17" w:name="OLE_LINK2"/>
      <w:r>
        <w:rPr>
          <w:rFonts w:hint="eastAsia" w:ascii="Times New Roman" w:hAnsi="Times New Roman" w:eastAsia="宋体" w:cs="Times New Roman"/>
          <w:b/>
          <w:bCs/>
          <w:kern w:val="2"/>
          <w:sz w:val="24"/>
          <w:szCs w:val="24"/>
          <w:lang w:val="en-US" w:eastAsia="zh-CN" w:bidi="ar-SA"/>
        </w:rPr>
        <w:t xml:space="preserve">2.0.1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雷电预警系统 lightning warning system</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监测目标区域内的雷暴活动，并能对该区域未来时段雷电发生情况进行预警的系统。</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2.0.2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雷电活动 lightning activity</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发生在大气中，具有时空相关性的一系列放电现象。</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2.0.3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雷电探测模块lightning detection module</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用于监测雷电预警特征参量的设备总称。</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2.0.4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数据处理模块data processing module</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雷电预警系统的数据处理单元，具有数据接收、预警计算、信息传输等功能的设备。</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2.0.5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应用终端 application terminal</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将雷电预警信息进行展示的终端，面向终端用户提供雷电预警功能应用，并提供预警信息主动推送服务和对外接口交互服务。</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2.0.6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大气电场仪atmospheric electric filed mill</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测量大气电场强度和极性的设备。</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2.0.7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雷电临近预警 lightning nowcasting and warning</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对临近的雷电活动的发生时间、区域及发生概率作出估计和警告。</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2.0.8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有效警报率 effective alarm ratio</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ascii="宋体" w:hAnsi="宋体"/>
          <w:sz w:val="24"/>
          <w:szCs w:val="24"/>
        </w:rPr>
        <w:t>有效警报数与警报总数的比率</w:t>
      </w:r>
      <w:r>
        <w:rPr>
          <w:rFonts w:hint="eastAsia" w:ascii="宋体" w:hAnsi="宋体"/>
          <w:sz w:val="24"/>
          <w:szCs w:val="24"/>
        </w:rPr>
        <w:t>。</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2.0.9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探测半径detection radius</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被雷暴探测仪或探测网探测到的闪电放电的距离。</w:t>
      </w:r>
    </w:p>
    <w:p>
      <w:pPr>
        <w:spacing w:line="360" w:lineRule="auto"/>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2.0.10 </w:t>
      </w:r>
      <w:r>
        <w:rPr>
          <w:rFonts w:hint="eastAsia" w:cs="Times New Roman"/>
          <w:b/>
          <w:bCs/>
          <w:kern w:val="2"/>
          <w:sz w:val="24"/>
          <w:szCs w:val="24"/>
          <w:lang w:val="en-US" w:eastAsia="zh-CN" w:bidi="ar-SA"/>
        </w:rPr>
        <w:t xml:space="preserve"> </w:t>
      </w:r>
      <w:r>
        <w:rPr>
          <w:rFonts w:hint="eastAsia" w:ascii="Times New Roman" w:hAnsi="Times New Roman" w:eastAsia="宋体" w:cs="Times New Roman"/>
          <w:b/>
          <w:bCs/>
          <w:kern w:val="2"/>
          <w:sz w:val="24"/>
          <w:szCs w:val="24"/>
          <w:lang w:val="en-US" w:eastAsia="zh-CN" w:bidi="ar-SA"/>
        </w:rPr>
        <w:t>覆盖区域 coverage area</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指</w:t>
      </w:r>
      <w:r>
        <w:rPr>
          <w:rFonts w:hint="eastAsia" w:ascii="宋体" w:hAnsi="宋体"/>
          <w:sz w:val="24"/>
          <w:szCs w:val="24"/>
        </w:rPr>
        <w:t>预警系统具有有效探测效率和精度的区域。</w:t>
      </w:r>
    </w:p>
    <w:bookmarkEnd w:id="17"/>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宋体" w:hAnsi="宋体"/>
          <w:sz w:val="32"/>
          <w:szCs w:val="32"/>
        </w:rPr>
      </w:pPr>
      <w:r>
        <w:rPr>
          <w:rFonts w:ascii="黑体" w:hAnsi="黑体" w:eastAsia="黑体"/>
          <w:sz w:val="24"/>
          <w:szCs w:val="24"/>
        </w:rPr>
        <w:br w:type="page"/>
      </w:r>
      <w:bookmarkStart w:id="18" w:name="_Toc192872056"/>
      <w:bookmarkStart w:id="19" w:name="_Toc90114513"/>
      <w:bookmarkStart w:id="20" w:name="_Toc192871652"/>
      <w:bookmarkStart w:id="21" w:name="_Toc89867329"/>
      <w:bookmarkStart w:id="22" w:name="_Toc33811178"/>
      <w:bookmarkStart w:id="23" w:name="_Toc187409877"/>
      <w:r>
        <w:rPr>
          <w:rFonts w:hint="eastAsia" w:ascii="Times New Roman" w:hAnsi="Times New Roman" w:eastAsia="宋体" w:cs="Times New Roman"/>
          <w:b/>
          <w:bCs/>
          <w:color w:val="000000" w:themeColor="text1"/>
          <w:sz w:val="30"/>
          <w:szCs w:val="30"/>
          <w14:textFill>
            <w14:solidFill>
              <w14:schemeClr w14:val="tx1"/>
            </w14:solidFill>
          </w14:textFill>
        </w:rPr>
        <w:t xml:space="preserve">3 </w:t>
      </w:r>
      <w:r>
        <w:rPr>
          <w:rFonts w:hint="eastAsia" w:ascii="Times New Roman" w:hAnsi="Times New Roman" w:eastAsia="宋体"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基本规定</w:t>
      </w:r>
      <w:bookmarkEnd w:id="18"/>
      <w:bookmarkEnd w:id="19"/>
      <w:bookmarkEnd w:id="20"/>
      <w:bookmarkEnd w:id="21"/>
      <w:bookmarkEnd w:id="22"/>
      <w:bookmarkEnd w:id="23"/>
    </w:p>
    <w:p>
      <w:pPr>
        <w:adjustRightInd w:val="0"/>
        <w:snapToGrid w:val="0"/>
        <w:spacing w:line="360" w:lineRule="auto"/>
        <w:rPr>
          <w:sz w:val="24"/>
          <w:szCs w:val="24"/>
        </w:rPr>
      </w:pPr>
      <w:bookmarkStart w:id="24" w:name="OLE_LINK3"/>
      <w:r>
        <w:rPr>
          <w:rFonts w:hint="eastAsia" w:ascii="Times New Roman" w:hAnsi="Times New Roman" w:eastAsia="宋体" w:cs="Times New Roman"/>
          <w:b/>
          <w:bCs/>
          <w:kern w:val="2"/>
          <w:sz w:val="24"/>
          <w:szCs w:val="24"/>
          <w:lang w:val="en-US" w:eastAsia="zh-CN" w:bidi="ar-SA"/>
        </w:rPr>
        <w:t>3.0.1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雷电预警系统应能实时采集石油和化工企业所在区域的雷电相关信息，实现对石油和化工企业及邻近区域雷电活动的实时监测、全面感知、临近预警。</w:t>
      </w:r>
    </w:p>
    <w:p>
      <w:pPr>
        <w:adjustRightInd w:val="0"/>
        <w:snapToGrid w:val="0"/>
        <w:spacing w:line="360" w:lineRule="auto"/>
        <w:jc w:val="left"/>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雷电预警系统的雷电预警信息应包括雷电预警级别、雷电预警时间、预警区域、预警解除等信息。</w:t>
      </w:r>
    </w:p>
    <w:p>
      <w:pPr>
        <w:adjustRightInd w:val="0"/>
        <w:snapToGrid w:val="0"/>
        <w:spacing w:line="360" w:lineRule="auto"/>
        <w:jc w:val="left"/>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雷电预警系统应具备与上级雷电灾害智能化监测系统平台或其它平台的数据交互功能。</w:t>
      </w:r>
    </w:p>
    <w:p>
      <w:pPr>
        <w:adjustRightInd w:val="0"/>
        <w:snapToGrid w:val="0"/>
        <w:spacing w:line="360" w:lineRule="auto"/>
        <w:jc w:val="left"/>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3.0.4</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雷电预警系统应具备与石油和化工企业防雷接地一体化监测平台的数据交互功能。</w:t>
      </w:r>
    </w:p>
    <w:p>
      <w:pPr>
        <w:adjustRightInd w:val="0"/>
        <w:snapToGrid w:val="0"/>
        <w:spacing w:line="360" w:lineRule="auto"/>
        <w:jc w:val="left"/>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3.0.5</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雷电预警系统应具备抗干扰能力。</w:t>
      </w:r>
    </w:p>
    <w:p>
      <w:pPr>
        <w:pStyle w:val="32"/>
        <w:adjustRightInd w:val="0"/>
        <w:snapToGrid w:val="0"/>
        <w:spacing w:line="360" w:lineRule="auto"/>
        <w:ind w:firstLine="0" w:firstLineChars="0"/>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3.0.6</w:t>
      </w:r>
      <w:r>
        <w:rPr>
          <w:rFonts w:hint="eastAsia" w:ascii="宋体" w:hAnsi="宋体" w:eastAsia="宋体" w:cs="宋体"/>
          <w:b/>
          <w:bCs/>
          <w:sz w:val="24"/>
          <w:szCs w:val="24"/>
        </w:rPr>
        <w:t xml:space="preserve"> </w:t>
      </w:r>
      <w:r>
        <w:rPr>
          <w:rFonts w:hint="eastAsia" w:ascii="宋体" w:hAnsi="宋体" w:cs="宋体"/>
          <w:b/>
          <w:bCs/>
          <w:sz w:val="24"/>
          <w:szCs w:val="24"/>
          <w:lang w:val="en-US" w:eastAsia="zh-CN"/>
        </w:rPr>
        <w:t xml:space="preserve"> </w:t>
      </w:r>
      <w:r>
        <w:rPr>
          <w:rFonts w:hint="eastAsia" w:ascii="宋体" w:hAnsi="宋体"/>
          <w:sz w:val="24"/>
          <w:szCs w:val="24"/>
        </w:rPr>
        <w:t>石油和化工企业雷电预警系统不</w:t>
      </w:r>
      <w:r>
        <w:rPr>
          <w:rFonts w:hint="eastAsia" w:ascii="宋体" w:hAnsi="宋体"/>
          <w:sz w:val="24"/>
          <w:szCs w:val="24"/>
          <w:lang w:val="en-US" w:eastAsia="zh-CN"/>
        </w:rPr>
        <w:t>得</w:t>
      </w:r>
      <w:r>
        <w:rPr>
          <w:rFonts w:hint="eastAsia" w:ascii="宋体" w:hAnsi="宋体"/>
          <w:sz w:val="24"/>
          <w:szCs w:val="24"/>
        </w:rPr>
        <w:t>替代雷电保护装置</w:t>
      </w:r>
      <w:r>
        <w:rPr>
          <w:rFonts w:ascii="宋体" w:hAnsi="宋体"/>
          <w:sz w:val="24"/>
          <w:szCs w:val="24"/>
        </w:rPr>
        <w:t>。</w:t>
      </w:r>
    </w:p>
    <w:bookmarkEnd w:id="24"/>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宋体" w:hAnsi="宋体"/>
          <w:sz w:val="32"/>
          <w:szCs w:val="32"/>
        </w:rPr>
      </w:pPr>
      <w:r>
        <w:rPr>
          <w:rFonts w:ascii="黑体" w:hAnsi="黑体" w:eastAsia="黑体"/>
          <w:sz w:val="24"/>
          <w:szCs w:val="24"/>
        </w:rPr>
        <w:br w:type="page"/>
      </w:r>
      <w:bookmarkStart w:id="25" w:name="_Toc187409878"/>
      <w:bookmarkStart w:id="26" w:name="_Toc90114514"/>
      <w:bookmarkStart w:id="27" w:name="_Toc89867330"/>
      <w:bookmarkStart w:id="28" w:name="_Toc192872057"/>
      <w:bookmarkStart w:id="29" w:name="_Toc192871653"/>
      <w:bookmarkStart w:id="30" w:name="_Toc33811179"/>
      <w:r>
        <w:rPr>
          <w:rFonts w:hint="eastAsia" w:ascii="Times New Roman" w:hAnsi="Times New Roman" w:eastAsia="宋体" w:cs="Times New Roman"/>
          <w:b/>
          <w:bCs/>
          <w:color w:val="000000" w:themeColor="text1"/>
          <w:sz w:val="30"/>
          <w:szCs w:val="30"/>
          <w14:textFill>
            <w14:solidFill>
              <w14:schemeClr w14:val="tx1"/>
            </w14:solidFill>
          </w14:textFill>
        </w:rPr>
        <w:t xml:space="preserve">4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w:t>
      </w:r>
      <w:bookmarkEnd w:id="25"/>
      <w:bookmarkEnd w:id="26"/>
      <w:bookmarkEnd w:id="27"/>
      <w:r>
        <w:rPr>
          <w:rFonts w:hint="eastAsia" w:ascii="Times New Roman" w:hAnsi="Times New Roman" w:eastAsia="宋体" w:cs="Times New Roman"/>
          <w:b/>
          <w:bCs/>
          <w:color w:val="000000" w:themeColor="text1"/>
          <w:sz w:val="30"/>
          <w:szCs w:val="30"/>
          <w14:textFill>
            <w14:solidFill>
              <w14:schemeClr w14:val="tx1"/>
            </w14:solidFill>
          </w14:textFill>
        </w:rPr>
        <w:t>组成</w:t>
      </w:r>
      <w:bookmarkEnd w:id="28"/>
      <w:bookmarkEnd w:id="29"/>
    </w:p>
    <w:p>
      <w:pPr>
        <w:adjustRightInd w:val="0"/>
        <w:snapToGrid w:val="0"/>
        <w:spacing w:line="360" w:lineRule="auto"/>
        <w:rPr>
          <w:rFonts w:hint="eastAsia" w:asciiTheme="minorHAnsi" w:hAnsiTheme="minorHAnsi"/>
          <w:sz w:val="24"/>
          <w:szCs w:val="24"/>
        </w:rPr>
      </w:pPr>
      <w:bookmarkStart w:id="31" w:name="OLE_LINK4"/>
      <w:r>
        <w:rPr>
          <w:rFonts w:hint="eastAsia" w:ascii="Times New Roman" w:hAnsi="Times New Roman" w:eastAsia="宋体" w:cs="Times New Roman"/>
          <w:b/>
          <w:bCs/>
          <w:kern w:val="2"/>
          <w:sz w:val="24"/>
          <w:szCs w:val="24"/>
          <w:lang w:val="en-US" w:eastAsia="zh-CN" w:bidi="ar-SA"/>
        </w:rPr>
        <w:t>4.0.1</w:t>
      </w:r>
      <w:r>
        <w:rPr>
          <w:rFonts w:hint="eastAsia" w:cs="Times New Roman"/>
          <w:b/>
          <w:bCs/>
          <w:kern w:val="2"/>
          <w:sz w:val="24"/>
          <w:szCs w:val="24"/>
          <w:lang w:val="en-US" w:eastAsia="zh-CN" w:bidi="ar-SA"/>
        </w:rPr>
        <w:t xml:space="preserve">  </w:t>
      </w:r>
      <w:r>
        <w:rPr>
          <w:rFonts w:hint="eastAsia" w:asciiTheme="minorHAnsi" w:hAnsiTheme="minorHAnsi"/>
          <w:sz w:val="24"/>
          <w:szCs w:val="24"/>
        </w:rPr>
        <w:t>雷电预警系统应由雷电探测模块、数据处理模块和应用终端等组成。</w:t>
      </w:r>
    </w:p>
    <w:p>
      <w:pPr>
        <w:adjustRightInd w:val="0"/>
        <w:snapToGrid w:val="0"/>
        <w:spacing w:line="360" w:lineRule="auto"/>
        <w:rPr>
          <w:rFonts w:hint="eastAsia" w:asciiTheme="minorHAnsi" w:hAnsiTheme="minorHAnsi"/>
          <w:sz w:val="24"/>
          <w:szCs w:val="24"/>
        </w:rPr>
      </w:pPr>
      <w:r>
        <w:rPr>
          <w:rFonts w:hint="eastAsia" w:ascii="Times New Roman" w:hAnsi="Times New Roman" w:eastAsia="宋体" w:cs="Times New Roman"/>
          <w:b/>
          <w:bCs/>
          <w:kern w:val="2"/>
          <w:sz w:val="24"/>
          <w:szCs w:val="24"/>
          <w:lang w:val="en-US" w:eastAsia="zh-CN" w:bidi="ar-SA"/>
        </w:rPr>
        <w:t>4.0.2</w:t>
      </w:r>
      <w:r>
        <w:rPr>
          <w:rFonts w:hint="eastAsia" w:cs="Times New Roman"/>
          <w:b/>
          <w:bCs/>
          <w:kern w:val="2"/>
          <w:sz w:val="24"/>
          <w:szCs w:val="24"/>
          <w:lang w:val="en-US" w:eastAsia="zh-CN" w:bidi="ar-SA"/>
        </w:rPr>
        <w:t xml:space="preserve">  </w:t>
      </w:r>
      <w:r>
        <w:rPr>
          <w:rFonts w:hint="eastAsia" w:asciiTheme="minorHAnsi" w:hAnsiTheme="minorHAnsi"/>
          <w:sz w:val="24"/>
          <w:szCs w:val="24"/>
        </w:rPr>
        <w:t>雷电探测模块</w:t>
      </w:r>
      <w:r>
        <w:rPr>
          <w:rFonts w:hint="eastAsia" w:asciiTheme="minorHAnsi" w:hAnsiTheme="minorHAnsi"/>
          <w:sz w:val="24"/>
          <w:szCs w:val="24"/>
          <w:lang w:val="en-US" w:eastAsia="zh-CN"/>
        </w:rPr>
        <w:t>应</w:t>
      </w:r>
      <w:r>
        <w:rPr>
          <w:rFonts w:hint="eastAsia" w:asciiTheme="minorHAnsi" w:hAnsiTheme="minorHAnsi"/>
          <w:sz w:val="24"/>
          <w:szCs w:val="24"/>
        </w:rPr>
        <w:t>由大气电场仪、闪电定位系统、多普勒雷达、卫星信号接收器等一种或多种方式组成。</w:t>
      </w:r>
    </w:p>
    <w:p>
      <w:pPr>
        <w:adjustRightInd w:val="0"/>
        <w:snapToGrid w:val="0"/>
        <w:spacing w:line="360" w:lineRule="auto"/>
        <w:rPr>
          <w:rFonts w:hint="eastAsia" w:asciiTheme="minorHAnsi" w:hAnsiTheme="minorHAnsi"/>
          <w:sz w:val="24"/>
          <w:szCs w:val="24"/>
        </w:rPr>
      </w:pPr>
      <w:r>
        <w:rPr>
          <w:rFonts w:hint="eastAsia" w:ascii="Times New Roman" w:hAnsi="Times New Roman" w:eastAsia="宋体" w:cs="Times New Roman"/>
          <w:b/>
          <w:bCs/>
          <w:kern w:val="2"/>
          <w:sz w:val="24"/>
          <w:szCs w:val="24"/>
          <w:lang w:val="en-US" w:eastAsia="zh-CN" w:bidi="ar-SA"/>
        </w:rPr>
        <w:t>4.0.3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Theme="minorHAnsi" w:hAnsiTheme="minorHAnsi"/>
          <w:sz w:val="24"/>
          <w:szCs w:val="24"/>
        </w:rPr>
        <w:t>数据处理模块应配置支持雷电探测数据的通信、接收、存储、计算与应用发布的硬件和软件。</w:t>
      </w:r>
    </w:p>
    <w:p>
      <w:pPr>
        <w:adjustRightInd w:val="0"/>
        <w:snapToGrid w:val="0"/>
        <w:spacing w:line="360" w:lineRule="auto"/>
        <w:rPr>
          <w:rFonts w:hint="eastAsia" w:asciiTheme="minorHAnsi" w:hAnsiTheme="minorHAnsi"/>
          <w:sz w:val="24"/>
          <w:szCs w:val="24"/>
        </w:rPr>
      </w:pPr>
      <w:r>
        <w:rPr>
          <w:rFonts w:hint="eastAsia" w:ascii="Times New Roman" w:hAnsi="Times New Roman" w:eastAsia="宋体" w:cs="Times New Roman"/>
          <w:b/>
          <w:bCs/>
          <w:kern w:val="2"/>
          <w:sz w:val="24"/>
          <w:szCs w:val="24"/>
          <w:lang w:val="en-US" w:eastAsia="zh-CN" w:bidi="ar-SA"/>
        </w:rPr>
        <w:t>4.0.4</w:t>
      </w:r>
      <w:r>
        <w:rPr>
          <w:rFonts w:ascii="黑体" w:hAnsi="黑体" w:eastAsia="黑体"/>
          <w:sz w:val="24"/>
          <w:szCs w:val="24"/>
        </w:rPr>
        <w:t xml:space="preserve"> </w:t>
      </w:r>
      <w:r>
        <w:rPr>
          <w:rFonts w:hint="eastAsia" w:ascii="黑体" w:hAnsi="黑体" w:eastAsia="黑体"/>
          <w:sz w:val="24"/>
          <w:szCs w:val="24"/>
          <w:lang w:val="en-US" w:eastAsia="zh-CN"/>
        </w:rPr>
        <w:t xml:space="preserve"> </w:t>
      </w:r>
      <w:r>
        <w:rPr>
          <w:rFonts w:hint="eastAsia" w:asciiTheme="minorHAnsi" w:hAnsiTheme="minorHAnsi"/>
          <w:sz w:val="24"/>
          <w:szCs w:val="24"/>
        </w:rPr>
        <w:t>应用终端</w:t>
      </w:r>
      <w:r>
        <w:rPr>
          <w:rFonts w:hint="eastAsia" w:asciiTheme="minorHAnsi" w:hAnsiTheme="minorHAnsi"/>
          <w:sz w:val="24"/>
          <w:szCs w:val="24"/>
          <w:lang w:val="en-US" w:eastAsia="zh-CN"/>
        </w:rPr>
        <w:t>应</w:t>
      </w:r>
      <w:r>
        <w:rPr>
          <w:rFonts w:hint="eastAsia" w:asciiTheme="minorHAnsi" w:hAnsiTheme="minorHAnsi"/>
          <w:sz w:val="24"/>
          <w:szCs w:val="24"/>
        </w:rPr>
        <w:t>包括电脑端、移动端、数据接口服务等一种或多种不同类型。</w:t>
      </w:r>
    </w:p>
    <w:bookmarkEnd w:id="31"/>
    <w:p>
      <w:pPr>
        <w:adjustRightInd w:val="0"/>
        <w:snapToGrid w:val="0"/>
        <w:jc w:val="center"/>
        <w:outlineLvl w:val="0"/>
        <w:rPr>
          <w:rFonts w:hint="eastAsia" w:ascii="黑体" w:hAnsi="黑体" w:eastAsia="黑体"/>
          <w:sz w:val="30"/>
          <w:szCs w:val="30"/>
        </w:rPr>
      </w:pPr>
      <w:r>
        <w:rPr>
          <w:rFonts w:ascii="黑体" w:hAnsi="黑体" w:eastAsia="黑体"/>
          <w:sz w:val="30"/>
          <w:szCs w:val="30"/>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32" w:name="_Toc90114519"/>
      <w:bookmarkStart w:id="33" w:name="_Toc89867335"/>
      <w:bookmarkStart w:id="34" w:name="_Toc187409879"/>
      <w:bookmarkStart w:id="35" w:name="_Toc192871654"/>
      <w:bookmarkStart w:id="36" w:name="_Toc192872058"/>
      <w:r>
        <w:rPr>
          <w:rFonts w:hint="eastAsia" w:ascii="Times New Roman" w:hAnsi="Times New Roman" w:eastAsia="宋体" w:cs="Times New Roman"/>
          <w:b/>
          <w:bCs/>
          <w:color w:val="000000" w:themeColor="text1"/>
          <w:sz w:val="30"/>
          <w:szCs w:val="30"/>
          <w14:textFill>
            <w14:solidFill>
              <w14:schemeClr w14:val="tx1"/>
            </w14:solidFill>
          </w14:textFill>
        </w:rPr>
        <w:t xml:space="preserve">5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w:t>
      </w:r>
      <w:bookmarkEnd w:id="32"/>
      <w:bookmarkEnd w:id="33"/>
      <w:bookmarkEnd w:id="34"/>
      <w:r>
        <w:rPr>
          <w:rFonts w:hint="eastAsia" w:ascii="Times New Roman" w:hAnsi="Times New Roman" w:eastAsia="宋体" w:cs="Times New Roman"/>
          <w:b/>
          <w:bCs/>
          <w:color w:val="000000" w:themeColor="text1"/>
          <w:sz w:val="30"/>
          <w:szCs w:val="30"/>
          <w14:textFill>
            <w14:solidFill>
              <w14:schemeClr w14:val="tx1"/>
            </w14:solidFill>
          </w14:textFill>
        </w:rPr>
        <w:t>功能</w:t>
      </w:r>
      <w:bookmarkEnd w:id="35"/>
      <w:bookmarkEnd w:id="36"/>
    </w:p>
    <w:p>
      <w:pPr>
        <w:adjustRightInd w:val="0"/>
        <w:snapToGrid w:val="0"/>
        <w:spacing w:line="360" w:lineRule="auto"/>
        <w:rPr>
          <w:rFonts w:hint="eastAsia" w:asciiTheme="minorHAnsi" w:hAnsiTheme="minorHAnsi"/>
          <w:sz w:val="24"/>
          <w:szCs w:val="24"/>
        </w:rPr>
      </w:pPr>
      <w:bookmarkStart w:id="37" w:name="OLE_LINK5"/>
      <w:r>
        <w:rPr>
          <w:rFonts w:hint="eastAsia" w:ascii="Times New Roman" w:hAnsi="Times New Roman" w:eastAsia="宋体" w:cs="Times New Roman"/>
          <w:b/>
          <w:bCs/>
          <w:kern w:val="2"/>
          <w:sz w:val="24"/>
          <w:szCs w:val="24"/>
          <w:lang w:val="en-US" w:eastAsia="zh-CN" w:bidi="ar-SA"/>
        </w:rPr>
        <w:t>5.0.1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Theme="minorHAnsi" w:hAnsiTheme="minorHAnsi"/>
          <w:sz w:val="24"/>
          <w:szCs w:val="24"/>
        </w:rPr>
        <w:t>雷电预警系统应具备周边雷电活动情况和雷电特征参数的实时监测、显示和记录功能。</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雷电预警系统应具备雷电临近预警信息的显示和记录功能，宜具备声光报警等方式。</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雷电预警系统应具有历史监测数据查询、导出、格式转换、统计分析等功能。</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5.0.4</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雷电预警系统宜具备气象环境参数实时监测、显示和记录功能。</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5.0.5</w:t>
      </w:r>
      <w:r>
        <w:rPr>
          <w:rFonts w:hint="eastAsia" w:cs="Times New Roman"/>
          <w:b/>
          <w:bCs/>
          <w:kern w:val="2"/>
          <w:sz w:val="24"/>
          <w:szCs w:val="24"/>
          <w:lang w:val="en-US" w:eastAsia="zh-CN" w:bidi="ar-SA"/>
        </w:rPr>
        <w:t xml:space="preserve">  </w:t>
      </w:r>
      <w:r>
        <w:rPr>
          <w:rFonts w:hint="eastAsia" w:ascii="宋体" w:hAnsi="宋体"/>
          <w:sz w:val="24"/>
          <w:szCs w:val="24"/>
        </w:rPr>
        <w:t>雷电预警系统应具有</w:t>
      </w:r>
      <w:r>
        <w:rPr>
          <w:rFonts w:hint="eastAsia"/>
          <w:sz w:val="24"/>
          <w:szCs w:val="24"/>
        </w:rPr>
        <w:t>初始化工作参数配置与保存功能。</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5.0.6</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雷电预警系统应具有预警阈值等工作参数的设置和调整能力。</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5.0.7</w:t>
      </w:r>
      <w:r>
        <w:rPr>
          <w:sz w:val="24"/>
          <w:szCs w:val="24"/>
        </w:rPr>
        <w:t xml:space="preserve"> </w:t>
      </w:r>
      <w:r>
        <w:rPr>
          <w:rFonts w:hint="eastAsia"/>
          <w:sz w:val="24"/>
          <w:szCs w:val="24"/>
          <w:lang w:val="en-US" w:eastAsia="zh-CN"/>
        </w:rPr>
        <w:t xml:space="preserve"> </w:t>
      </w:r>
      <w:r>
        <w:rPr>
          <w:rFonts w:hint="eastAsia"/>
          <w:sz w:val="24"/>
          <w:szCs w:val="24"/>
        </w:rPr>
        <w:t>雷电预警系统应具备雷电分级预警、设置雷电预警时间、设置预警区域、预警解除等功能。</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5.0.8</w:t>
      </w:r>
      <w:r>
        <w:rPr>
          <w:rFonts w:hint="eastAsia" w:cs="Times New Roman"/>
          <w:b/>
          <w:bCs/>
          <w:kern w:val="2"/>
          <w:sz w:val="24"/>
          <w:szCs w:val="24"/>
          <w:lang w:val="en-US" w:eastAsia="zh-CN" w:bidi="ar-SA"/>
        </w:rPr>
        <w:t xml:space="preserve">  </w:t>
      </w:r>
      <w:r>
        <w:rPr>
          <w:rFonts w:hint="eastAsia"/>
          <w:sz w:val="24"/>
          <w:szCs w:val="24"/>
        </w:rPr>
        <w:t>雷电预警系统应设置至少三级预警模式，并能提醒值班人员进行不同级别安全防范应急预案操作。</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5.0.9</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雷电预警系统应具备卫星定位授时功能，自动同步系统时钟。</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5.0.10</w:t>
      </w:r>
      <w:r>
        <w:rPr>
          <w:rFonts w:ascii="黑体" w:hAnsi="黑体" w:eastAsia="黑体"/>
          <w:sz w:val="24"/>
          <w:szCs w:val="24"/>
        </w:rPr>
        <w:t xml:space="preserve"> </w:t>
      </w:r>
      <w:r>
        <w:rPr>
          <w:rFonts w:hint="eastAsia" w:ascii="黑体" w:hAnsi="黑体" w:eastAsia="黑体"/>
          <w:sz w:val="24"/>
          <w:szCs w:val="24"/>
          <w:lang w:val="en-US" w:eastAsia="zh-CN"/>
        </w:rPr>
        <w:t xml:space="preserve"> </w:t>
      </w:r>
      <w:r>
        <w:rPr>
          <w:rFonts w:hint="eastAsia"/>
          <w:sz w:val="24"/>
          <w:szCs w:val="24"/>
        </w:rPr>
        <w:t>雷电预警系统应具备第三方接口，可与其它平台通信。</w:t>
      </w:r>
    </w:p>
    <w:p>
      <w:pPr>
        <w:adjustRightInd w:val="0"/>
        <w:snapToGrid w:val="0"/>
        <w:spacing w:line="360" w:lineRule="auto"/>
        <w:rPr>
          <w:sz w:val="24"/>
          <w:szCs w:val="24"/>
        </w:rPr>
      </w:pPr>
      <w:r>
        <w:rPr>
          <w:rFonts w:hint="eastAsia" w:ascii="Times New Roman" w:hAnsi="Times New Roman" w:eastAsia="宋体" w:cs="Times New Roman"/>
          <w:b/>
          <w:bCs/>
          <w:kern w:val="2"/>
          <w:sz w:val="24"/>
          <w:szCs w:val="24"/>
          <w:lang w:val="en-US" w:eastAsia="zh-CN" w:bidi="ar-SA"/>
        </w:rPr>
        <w:t>5.0.11</w:t>
      </w:r>
      <w:r>
        <w:rPr>
          <w:rFonts w:hint="eastAsia" w:ascii="宋体" w:hAnsi="宋体" w:cs="宋体"/>
          <w:b/>
          <w:bCs/>
          <w:kern w:val="2"/>
          <w:sz w:val="24"/>
          <w:szCs w:val="24"/>
          <w:lang w:val="en-US" w:eastAsia="zh-CN" w:bidi="ar-SA"/>
        </w:rPr>
        <w:t xml:space="preserve">  </w:t>
      </w:r>
      <w:r>
        <w:rPr>
          <w:rFonts w:hint="eastAsia"/>
          <w:sz w:val="24"/>
          <w:szCs w:val="24"/>
        </w:rPr>
        <w:t>石油和化工企业防雷接地一体化监测平台应具备</w:t>
      </w:r>
      <w:r>
        <w:rPr>
          <w:rFonts w:hint="eastAsia"/>
          <w:sz w:val="24"/>
          <w:szCs w:val="24"/>
          <w:lang w:val="en-US" w:eastAsia="zh-CN"/>
        </w:rPr>
        <w:t>下列</w:t>
      </w:r>
      <w:r>
        <w:rPr>
          <w:rFonts w:hint="eastAsia"/>
          <w:sz w:val="24"/>
          <w:szCs w:val="24"/>
        </w:rPr>
        <w:t>功能：</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防雷、防静电设备运行信息、状态监测信息、计量信息等的统一接入、统一存储和统一管理。</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支持雷电预警系统的各类设备和信息接入。</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支持接地电阻在线监测系统的各类设备和信息接入。</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支持防雷设施远程状态监测。</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5</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支持防静电设备的远程状态监测及技术数值测量获取。</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6</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数据采集、分析处理和分类存储，操作控制和运行管理。</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7</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主要性能指标实时数值推送展示和智能告警。</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8</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以图表等多种可视化形式展示运行状态、数据信息、告警提示、模拟量数据等。</w:t>
      </w:r>
    </w:p>
    <w:p>
      <w:pPr>
        <w:adjustRightInd w:val="0"/>
        <w:snapToGrid w:val="0"/>
        <w:spacing w:line="360" w:lineRule="auto"/>
        <w:ind w:firstLine="482" w:firstLineChars="200"/>
        <w:jc w:val="left"/>
        <w:rPr>
          <w:rFonts w:hint="eastAsia" w:ascii="黑体" w:hAnsi="黑体" w:eastAsia="黑体"/>
          <w:sz w:val="30"/>
          <w:szCs w:val="30"/>
        </w:rPr>
      </w:pPr>
      <w:r>
        <w:rPr>
          <w:rFonts w:hint="eastAsia" w:ascii="Times New Roman" w:hAnsi="Times New Roman" w:eastAsia="宋体" w:cs="Times New Roman"/>
          <w:b/>
          <w:bCs/>
          <w:kern w:val="2"/>
          <w:sz w:val="24"/>
          <w:szCs w:val="24"/>
          <w:lang w:val="en-US" w:eastAsia="zh-CN" w:bidi="ar-SA"/>
        </w:rPr>
        <w:t>9</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历史数据查询功能。</w:t>
      </w:r>
      <w:bookmarkEnd w:id="37"/>
      <w:r>
        <w:rPr>
          <w:rFonts w:ascii="黑体" w:hAnsi="黑体" w:eastAsia="黑体"/>
          <w:sz w:val="30"/>
          <w:szCs w:val="30"/>
        </w:rPr>
        <w:br w:type="page"/>
      </w:r>
    </w:p>
    <w:bookmarkEnd w:id="30"/>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38" w:name="_Toc89867339"/>
      <w:bookmarkStart w:id="39" w:name="_Toc33811204"/>
      <w:bookmarkStart w:id="40" w:name="_Toc90114523"/>
      <w:bookmarkStart w:id="41" w:name="_Toc187409880"/>
      <w:bookmarkStart w:id="42" w:name="_Toc192871655"/>
      <w:bookmarkStart w:id="43" w:name="_Toc192872059"/>
      <w:bookmarkStart w:id="44" w:name="_Toc33811186"/>
      <w:r>
        <w:rPr>
          <w:rFonts w:hint="eastAsia" w:ascii="Times New Roman" w:hAnsi="Times New Roman" w:eastAsia="宋体" w:cs="Times New Roman"/>
          <w:b/>
          <w:bCs/>
          <w:color w:val="000000" w:themeColor="text1"/>
          <w:sz w:val="30"/>
          <w:szCs w:val="30"/>
          <w14:textFill>
            <w14:solidFill>
              <w14:schemeClr w14:val="tx1"/>
            </w14:solidFill>
          </w14:textFill>
        </w:rPr>
        <w:t xml:space="preserve">6 </w:t>
      </w:r>
      <w:bookmarkEnd w:id="38"/>
      <w:bookmarkEnd w:id="39"/>
      <w:bookmarkEnd w:id="40"/>
      <w:bookmarkEnd w:id="41"/>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系统设计</w:t>
      </w:r>
      <w:bookmarkEnd w:id="42"/>
      <w:bookmarkEnd w:id="43"/>
    </w:p>
    <w:p>
      <w:pPr>
        <w:adjustRightInd w:val="0"/>
        <w:snapToGrid w:val="0"/>
        <w:spacing w:line="360" w:lineRule="auto"/>
        <w:rPr>
          <w:rFonts w:hint="eastAsia" w:ascii="宋体" w:hAnsi="宋体"/>
          <w:sz w:val="24"/>
          <w:szCs w:val="24"/>
        </w:rPr>
      </w:pPr>
      <w:bookmarkStart w:id="45" w:name="OLE_LINK6"/>
      <w:r>
        <w:rPr>
          <w:rFonts w:hint="eastAsia" w:ascii="Times New Roman" w:hAnsi="Times New Roman" w:eastAsia="宋体" w:cs="Times New Roman"/>
          <w:b/>
          <w:bCs/>
          <w:kern w:val="2"/>
          <w:sz w:val="24"/>
          <w:szCs w:val="24"/>
          <w:lang w:val="en-US" w:eastAsia="zh-CN" w:bidi="ar-SA"/>
        </w:rPr>
        <w:t>6.0.1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大型石油化工企业、大型油气储存企业、大型危险化学品制造和储存企业应设置雷电预警系统。</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6.0.2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处于多雷区、强雷区的野外作业单位应设置雷电预警系统。</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6.0.3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处于多雷区、强雷区的油气钻井、集输站场、储罐、油库、炼化企业、险化学品制造和储存企业等应设置雷电预警系统。</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6.0.4</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处于中雷区的野外作业单位、油气钻井、集输站场、油库、炼化企业、险化学品制造和储存企业等宜设置雷电预警系统。</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6.0.5</w:t>
      </w:r>
      <w:r>
        <w:rPr>
          <w:rFonts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雷电预警系统设备应根据实际需求设置于厂区的相应位置。</w:t>
      </w:r>
    </w:p>
    <w:p>
      <w:pPr>
        <w:adjustRightInd w:val="0"/>
        <w:snapToGrid w:val="0"/>
        <w:spacing w:line="360" w:lineRule="auto"/>
        <w:rPr>
          <w:rFonts w:hint="default" w:ascii="Times New Roman" w:hAnsi="Times New Roman" w:cs="Times New Roman"/>
          <w:sz w:val="24"/>
          <w:szCs w:val="24"/>
        </w:rPr>
      </w:pPr>
      <w:r>
        <w:rPr>
          <w:rFonts w:hint="eastAsia" w:ascii="Times New Roman" w:hAnsi="Times New Roman" w:eastAsia="宋体" w:cs="Times New Roman"/>
          <w:b/>
          <w:bCs/>
          <w:kern w:val="2"/>
          <w:sz w:val="24"/>
          <w:szCs w:val="24"/>
          <w:lang w:val="en-US" w:eastAsia="zh-CN" w:bidi="ar-SA"/>
        </w:rPr>
        <w:t>6.0.6</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雷电预警系统应符合石油和化工企业场所的防爆安全等要求。现场安装的雷电探测系统应满足电</w:t>
      </w:r>
      <w:r>
        <w:rPr>
          <w:rFonts w:hint="eastAsia" w:ascii="宋体" w:hAnsi="宋体" w:eastAsia="宋体" w:cs="宋体"/>
          <w:sz w:val="24"/>
          <w:szCs w:val="24"/>
        </w:rPr>
        <w:t>气防爆要求，防护等级</w:t>
      </w:r>
      <w:r>
        <w:rPr>
          <w:rFonts w:hint="default" w:ascii="Times New Roman" w:hAnsi="Times New Roman" w:eastAsia="宋体" w:cs="Times New Roman"/>
          <w:sz w:val="24"/>
          <w:szCs w:val="24"/>
        </w:rPr>
        <w:t>不低于IP65。</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6.0.7</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雷电预警系统应适应各种恶劣的天气。</w:t>
      </w:r>
    </w:p>
    <w:p>
      <w:pPr>
        <w:adjustRightInd w:val="0"/>
        <w:snapToGrid w:val="0"/>
        <w:spacing w:line="360" w:lineRule="auto"/>
        <w:jc w:val="left"/>
        <w:rPr>
          <w:sz w:val="24"/>
          <w:szCs w:val="24"/>
        </w:rPr>
      </w:pPr>
      <w:r>
        <w:rPr>
          <w:rFonts w:hint="eastAsia" w:ascii="Times New Roman" w:hAnsi="Times New Roman" w:eastAsia="宋体" w:cs="Times New Roman"/>
          <w:b/>
          <w:bCs/>
          <w:kern w:val="2"/>
          <w:sz w:val="24"/>
          <w:szCs w:val="24"/>
          <w:lang w:val="en-US" w:eastAsia="zh-CN" w:bidi="ar-SA"/>
        </w:rPr>
        <w:t>6.0.8</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雷电预警系统应设计防雷击、过电压保护措施。</w:t>
      </w:r>
    </w:p>
    <w:p>
      <w:pPr>
        <w:adjustRightInd w:val="0"/>
        <w:snapToGrid w:val="0"/>
        <w:spacing w:line="360" w:lineRule="auto"/>
        <w:jc w:val="left"/>
        <w:rPr>
          <w:rFonts w:hint="eastAsia" w:eastAsia="宋体"/>
          <w:sz w:val="24"/>
          <w:szCs w:val="24"/>
          <w:lang w:eastAsia="zh-CN"/>
        </w:rPr>
      </w:pPr>
      <w:r>
        <w:rPr>
          <w:rFonts w:hint="eastAsia" w:ascii="Times New Roman" w:hAnsi="Times New Roman" w:eastAsia="宋体" w:cs="Times New Roman"/>
          <w:b/>
          <w:bCs/>
          <w:kern w:val="2"/>
          <w:sz w:val="24"/>
          <w:szCs w:val="24"/>
          <w:lang w:val="en-US" w:eastAsia="zh-CN" w:bidi="ar-SA"/>
        </w:rPr>
        <w:t>6.0.9</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雷电预警系统宜具备</w:t>
      </w:r>
      <w:r>
        <w:rPr>
          <w:sz w:val="24"/>
          <w:szCs w:val="24"/>
        </w:rPr>
        <w:t>太阳能</w:t>
      </w:r>
      <w:r>
        <w:rPr>
          <w:rFonts w:hint="eastAsia"/>
          <w:sz w:val="24"/>
          <w:szCs w:val="24"/>
        </w:rPr>
        <w:t>和市电两种供电方式</w:t>
      </w:r>
      <w:r>
        <w:rPr>
          <w:rFonts w:hint="eastAsia"/>
          <w:sz w:val="24"/>
          <w:szCs w:val="24"/>
          <w:lang w:eastAsia="zh-CN"/>
        </w:rPr>
        <w:t>。</w:t>
      </w:r>
    </w:p>
    <w:p>
      <w:pPr>
        <w:adjustRightInd w:val="0"/>
        <w:snapToGrid w:val="0"/>
        <w:spacing w:line="360" w:lineRule="auto"/>
        <w:jc w:val="left"/>
        <w:rPr>
          <w:sz w:val="24"/>
          <w:szCs w:val="24"/>
        </w:rPr>
      </w:pPr>
      <w:r>
        <w:rPr>
          <w:rFonts w:hint="eastAsia" w:ascii="Times New Roman" w:hAnsi="Times New Roman" w:eastAsia="宋体" w:cs="Times New Roman"/>
          <w:b/>
          <w:bCs/>
          <w:kern w:val="2"/>
          <w:sz w:val="24"/>
          <w:szCs w:val="24"/>
          <w:lang w:val="en-US" w:eastAsia="zh-CN" w:bidi="ar-SA"/>
        </w:rPr>
        <w:t>6.0.10</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石油化工企业雷电预警系统的设计要求应符合下列规定：</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雷电探测模块应选用大气电场仪。</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根据现场情况选择供电方式和通信方式。</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雷电预警系统的设备应采用国产化产品。</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4</w:t>
      </w:r>
      <w:r>
        <w:rPr>
          <w:rFonts w:hint="eastAsia" w:cs="Times New Roman"/>
          <w:b/>
          <w:bCs/>
          <w:kern w:val="2"/>
          <w:sz w:val="24"/>
          <w:szCs w:val="24"/>
          <w:lang w:val="en-US" w:eastAsia="zh-CN" w:bidi="ar-SA"/>
        </w:rPr>
        <w:t xml:space="preserve"> </w:t>
      </w:r>
      <w:r>
        <w:rPr>
          <w:rFonts w:hint="eastAsia" w:ascii="宋体" w:hAnsi="宋体" w:eastAsia="宋体" w:cs="宋体"/>
          <w:sz w:val="24"/>
          <w:szCs w:val="24"/>
        </w:rPr>
        <w:t xml:space="preserve"> 用户终端软件的运行环境</w:t>
      </w:r>
      <w:r>
        <w:rPr>
          <w:rFonts w:hint="default" w:ascii="Times New Roman" w:hAnsi="Times New Roman" w:eastAsia="宋体" w:cs="Times New Roman"/>
          <w:sz w:val="24"/>
          <w:szCs w:val="24"/>
        </w:rPr>
        <w:t>应支持国产CPU和国产操</w:t>
      </w:r>
      <w:r>
        <w:rPr>
          <w:rFonts w:hint="eastAsia" w:ascii="宋体" w:hAnsi="宋体" w:eastAsia="宋体" w:cs="宋体"/>
          <w:sz w:val="24"/>
          <w:szCs w:val="24"/>
        </w:rPr>
        <w:t>作系统。</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5</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雷电预警系统宜具备安装位置附近的气象环境监测功能。</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6</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雷电预警系统应具备与全国危化品风险监测预警平台进行数据交互功能。</w:t>
      </w:r>
    </w:p>
    <w:p>
      <w:pPr>
        <w:adjustRightInd w:val="0"/>
        <w:snapToGrid w:val="0"/>
        <w:spacing w:line="360" w:lineRule="auto"/>
        <w:jc w:val="left"/>
        <w:rPr>
          <w:sz w:val="24"/>
          <w:szCs w:val="24"/>
        </w:rPr>
      </w:pPr>
      <w:r>
        <w:rPr>
          <w:rFonts w:hint="eastAsia" w:ascii="Times New Roman" w:hAnsi="Times New Roman" w:eastAsia="宋体" w:cs="Times New Roman"/>
          <w:b/>
          <w:bCs/>
          <w:kern w:val="2"/>
          <w:sz w:val="24"/>
          <w:szCs w:val="24"/>
          <w:lang w:val="en-US" w:eastAsia="zh-CN" w:bidi="ar-SA"/>
        </w:rPr>
        <w:t>6.0.11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sz w:val="24"/>
          <w:szCs w:val="24"/>
        </w:rPr>
        <w:t>石油化工企业雷电预警系统的技术指标应符合下列规定：</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雷电预警提前时间不低于</w:t>
      </w:r>
      <w:r>
        <w:rPr>
          <w:rFonts w:hint="default" w:ascii="Times New Roman" w:hAnsi="Times New Roman" w:eastAsia="宋体" w:cs="Times New Roman"/>
          <w:sz w:val="24"/>
          <w:szCs w:val="24"/>
        </w:rPr>
        <w:t>20</w:t>
      </w:r>
      <w:r>
        <w:rPr>
          <w:rFonts w:hint="eastAsia" w:ascii="宋体" w:hAnsi="宋体" w:eastAsia="宋体" w:cs="宋体"/>
          <w:sz w:val="24"/>
          <w:szCs w:val="24"/>
        </w:rPr>
        <w:t>分钟，提前时间应能按用户要求进行设定。</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雷电预警系统的有效报警率不低于</w:t>
      </w:r>
      <w:r>
        <w:rPr>
          <w:rFonts w:hint="default" w:ascii="Times New Roman" w:hAnsi="Times New Roman" w:eastAsia="宋体" w:cs="Times New Roman"/>
          <w:sz w:val="24"/>
          <w:szCs w:val="24"/>
        </w:rPr>
        <w:t>80%</w:t>
      </w:r>
      <w:r>
        <w:rPr>
          <w:rFonts w:hint="eastAsia" w:ascii="宋体" w:hAnsi="宋体" w:eastAsia="宋体" w:cs="宋体"/>
          <w:sz w:val="24"/>
          <w:szCs w:val="24"/>
        </w:rPr>
        <w:t>。</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 xml:space="preserve">3 </w:t>
      </w:r>
      <w:r>
        <w:rPr>
          <w:rFonts w:hint="eastAsia" w:cs="Times New Roman"/>
          <w:b/>
          <w:bCs/>
          <w:kern w:val="2"/>
          <w:sz w:val="24"/>
          <w:szCs w:val="24"/>
          <w:lang w:val="en-US" w:eastAsia="zh-CN" w:bidi="ar-SA"/>
        </w:rPr>
        <w:t xml:space="preserve"> </w:t>
      </w:r>
      <w:r>
        <w:rPr>
          <w:rFonts w:hint="eastAsia" w:ascii="宋体" w:hAnsi="宋体" w:eastAsia="宋体" w:cs="宋体"/>
          <w:sz w:val="24"/>
          <w:szCs w:val="24"/>
        </w:rPr>
        <w:t>雷电预警系统需根据多级预警功能支持本地声光报警。</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探测半径不小于</w:t>
      </w:r>
      <w:r>
        <w:rPr>
          <w:rFonts w:hint="default" w:ascii="Times New Roman" w:hAnsi="Times New Roman" w:eastAsia="宋体" w:cs="Times New Roman"/>
          <w:sz w:val="24"/>
          <w:szCs w:val="24"/>
        </w:rPr>
        <w:t>15km</w:t>
      </w:r>
      <w:r>
        <w:rPr>
          <w:rFonts w:hint="eastAsia" w:ascii="宋体" w:hAnsi="宋体" w:eastAsia="宋体" w:cs="宋体"/>
          <w:sz w:val="24"/>
          <w:szCs w:val="24"/>
        </w:rPr>
        <w:t>。</w:t>
      </w:r>
    </w:p>
    <w:p>
      <w:pPr>
        <w:adjustRightInd w:val="0"/>
        <w:snapToGrid w:val="0"/>
        <w:spacing w:line="360" w:lineRule="auto"/>
        <w:ind w:firstLine="482" w:firstLineChars="200"/>
        <w:jc w:val="left"/>
        <w:rPr>
          <w:rFonts w:hint="default" w:ascii="Times New Roman" w:hAnsi="Times New Roman" w:eastAsia="宋体" w:cs="Times New Roman"/>
          <w:sz w:val="24"/>
          <w:szCs w:val="24"/>
        </w:rPr>
      </w:pPr>
      <w:r>
        <w:rPr>
          <w:rFonts w:hint="eastAsia" w:ascii="Times New Roman" w:hAnsi="Times New Roman" w:eastAsia="宋体" w:cs="Times New Roman"/>
          <w:b/>
          <w:bCs/>
          <w:kern w:val="2"/>
          <w:sz w:val="24"/>
          <w:szCs w:val="24"/>
          <w:lang w:val="en-US" w:eastAsia="zh-CN" w:bidi="ar-SA"/>
        </w:rPr>
        <w:t>5</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大气电场测量量程宜为</w:t>
      </w:r>
      <w:r>
        <w:rPr>
          <w:rFonts w:hint="default" w:ascii="Times New Roman" w:hAnsi="Times New Roman" w:eastAsia="宋体" w:cs="Times New Roman"/>
          <w:sz w:val="24"/>
          <w:szCs w:val="24"/>
        </w:rPr>
        <w:t xml:space="preserve"> -160kV/m ~ +160kV/m。</w:t>
      </w:r>
    </w:p>
    <w:p>
      <w:pPr>
        <w:adjustRightInd w:val="0"/>
        <w:snapToGrid w:val="0"/>
        <w:spacing w:line="360" w:lineRule="auto"/>
        <w:ind w:firstLine="482" w:firstLineChars="200"/>
        <w:jc w:val="left"/>
        <w:rPr>
          <w:rFonts w:hint="default" w:ascii="Times New Roman" w:hAnsi="Times New Roman" w:eastAsia="宋体" w:cs="Times New Roman"/>
          <w:sz w:val="24"/>
          <w:szCs w:val="24"/>
        </w:rPr>
      </w:pPr>
      <w:r>
        <w:rPr>
          <w:rFonts w:hint="eastAsia" w:ascii="Times New Roman" w:hAnsi="Times New Roman" w:eastAsia="宋体" w:cs="Times New Roman"/>
          <w:b/>
          <w:bCs/>
          <w:kern w:val="2"/>
          <w:sz w:val="24"/>
          <w:szCs w:val="24"/>
          <w:lang w:val="en-US" w:eastAsia="zh-CN" w:bidi="ar-SA"/>
        </w:rPr>
        <w:t>6</w:t>
      </w:r>
      <w:r>
        <w:rPr>
          <w:rFonts w:hint="eastAsia" w:cs="Times New Roman"/>
          <w:b/>
          <w:bCs/>
          <w:kern w:val="2"/>
          <w:sz w:val="24"/>
          <w:szCs w:val="24"/>
          <w:lang w:val="en-US" w:eastAsia="zh-CN" w:bidi="ar-SA"/>
        </w:rPr>
        <w:t xml:space="preserve"> </w:t>
      </w:r>
      <w:r>
        <w:rPr>
          <w:rFonts w:hint="eastAsia" w:ascii="宋体" w:hAnsi="宋体" w:eastAsia="宋体" w:cs="宋体"/>
          <w:sz w:val="24"/>
          <w:szCs w:val="24"/>
        </w:rPr>
        <w:t xml:space="preserve"> 大气电场探测精度优于</w:t>
      </w:r>
      <w:r>
        <w:rPr>
          <w:rFonts w:hint="default" w:ascii="Times New Roman" w:hAnsi="Times New Roman" w:eastAsia="宋体" w:cs="Times New Roman"/>
          <w:sz w:val="24"/>
          <w:szCs w:val="24"/>
        </w:rPr>
        <w:t>±5%。</w:t>
      </w:r>
    </w:p>
    <w:p>
      <w:pPr>
        <w:adjustRightInd w:val="0"/>
        <w:snapToGrid w:val="0"/>
        <w:spacing w:line="360" w:lineRule="auto"/>
        <w:ind w:firstLine="482" w:firstLineChars="200"/>
        <w:jc w:val="left"/>
        <w:rPr>
          <w:rFonts w:hint="default" w:ascii="Times New Roman" w:hAnsi="Times New Roman" w:eastAsia="宋体" w:cs="Times New Roman"/>
          <w:sz w:val="24"/>
          <w:szCs w:val="24"/>
        </w:rPr>
      </w:pPr>
      <w:r>
        <w:rPr>
          <w:rFonts w:hint="eastAsia" w:ascii="Times New Roman" w:hAnsi="Times New Roman" w:eastAsia="宋体" w:cs="Times New Roman"/>
          <w:b/>
          <w:bCs/>
          <w:kern w:val="2"/>
          <w:sz w:val="24"/>
          <w:szCs w:val="24"/>
          <w:lang w:val="en-US" w:eastAsia="zh-CN" w:bidi="ar-SA"/>
        </w:rPr>
        <w:t>7</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雷电预警历史数据储存时间</w:t>
      </w:r>
      <w:r>
        <w:rPr>
          <w:rFonts w:hint="default" w:ascii="Times New Roman" w:hAnsi="Times New Roman" w:eastAsia="宋体" w:cs="Times New Roman"/>
          <w:sz w:val="24"/>
          <w:szCs w:val="24"/>
        </w:rPr>
        <w:t>不低于3年。</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8</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雷电探测模块需自带设备自检、故障自查、探测精度自检等功能，且运行寿命</w:t>
      </w:r>
      <w:r>
        <w:rPr>
          <w:rFonts w:hint="default" w:ascii="Times New Roman" w:hAnsi="Times New Roman" w:eastAsia="宋体" w:cs="Times New Roman"/>
          <w:sz w:val="24"/>
          <w:szCs w:val="24"/>
        </w:rPr>
        <w:t>不低于3年。</w:t>
      </w:r>
    </w:p>
    <w:p>
      <w:pPr>
        <w:adjustRightInd w:val="0"/>
        <w:snapToGrid w:val="0"/>
        <w:spacing w:line="360" w:lineRule="auto"/>
        <w:ind w:firstLine="482" w:firstLineChars="200"/>
        <w:jc w:val="left"/>
        <w:rPr>
          <w:rFonts w:hint="default" w:ascii="Times New Roman" w:hAnsi="Times New Roman" w:eastAsia="宋体" w:cs="Times New Roman"/>
          <w:sz w:val="24"/>
          <w:szCs w:val="24"/>
        </w:rPr>
      </w:pPr>
      <w:r>
        <w:rPr>
          <w:rFonts w:hint="eastAsia" w:ascii="Times New Roman" w:hAnsi="Times New Roman" w:eastAsia="宋体" w:cs="Times New Roman"/>
          <w:b/>
          <w:bCs/>
          <w:kern w:val="2"/>
          <w:sz w:val="24"/>
          <w:szCs w:val="24"/>
          <w:lang w:val="en-US" w:eastAsia="zh-CN" w:bidi="ar-SA"/>
        </w:rPr>
        <w:t>9</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雷电预警系统需支持市电供电、电池组供电、太阳能供电等至少两种供电类型，且当外部电源供电中断后，需自主持续</w:t>
      </w:r>
      <w:r>
        <w:rPr>
          <w:rFonts w:hint="default" w:ascii="Times New Roman" w:hAnsi="Times New Roman" w:eastAsia="宋体" w:cs="Times New Roman"/>
          <w:sz w:val="24"/>
          <w:szCs w:val="24"/>
        </w:rPr>
        <w:t>运行时间不低于6小时。</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10</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雷电预警系统宜实时监测风速、风向、温度、湿度、降雨、气压等气象六要素。</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11</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雷电预警系统应具备多级预警模式，不低于三级雷电预警功能：</w:t>
      </w:r>
    </w:p>
    <w:p>
      <w:pPr>
        <w:adjustRightInd w:val="0"/>
        <w:snapToGrid w:val="0"/>
        <w:spacing w:line="360" w:lineRule="auto"/>
        <w:ind w:left="1421" w:leftChars="400" w:hanging="581" w:hangingChars="241"/>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rPr>
        <w:t>）一级预警：可能有雷电活动，覆盖区域的大气电场正在增强，电场出现波动，地闪回击点发生位置位</w:t>
      </w:r>
      <w:r>
        <w:rPr>
          <w:rFonts w:hint="default" w:ascii="Times New Roman" w:hAnsi="Times New Roman" w:eastAsia="宋体" w:cs="Times New Roman"/>
          <w:sz w:val="24"/>
          <w:szCs w:val="24"/>
        </w:rPr>
        <w:t>于距离石油化工企业10km以外</w:t>
      </w:r>
      <w:r>
        <w:rPr>
          <w:rFonts w:hint="eastAsia" w:ascii="宋体" w:hAnsi="宋体" w:eastAsia="宋体" w:cs="宋体"/>
          <w:sz w:val="24"/>
          <w:szCs w:val="24"/>
        </w:rPr>
        <w:t>的临近区域，有造成雷击事故的可能。</w:t>
      </w:r>
    </w:p>
    <w:p>
      <w:pPr>
        <w:adjustRightInd w:val="0"/>
        <w:snapToGrid w:val="0"/>
        <w:spacing w:line="360" w:lineRule="auto"/>
        <w:ind w:left="1421" w:leftChars="400" w:hanging="581" w:hangingChars="241"/>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rPr>
        <w:t>）二级预警：雷电发生的可能性较大，覆盖区域的大气电场快速增强，电场变化波动加剧，地闪回击点发生位置距离石油化工企业</w:t>
      </w:r>
      <w:r>
        <w:rPr>
          <w:rFonts w:hint="default" w:ascii="Times New Roman" w:hAnsi="Times New Roman" w:eastAsia="宋体" w:cs="Times New Roman"/>
          <w:sz w:val="24"/>
          <w:szCs w:val="24"/>
        </w:rPr>
        <w:t>5km-10km，造成雷</w:t>
      </w:r>
      <w:r>
        <w:rPr>
          <w:rFonts w:hint="eastAsia" w:ascii="宋体" w:hAnsi="宋体" w:eastAsia="宋体" w:cs="宋体"/>
          <w:sz w:val="24"/>
          <w:szCs w:val="24"/>
        </w:rPr>
        <w:t>击事故的可能增加。</w:t>
      </w:r>
    </w:p>
    <w:p>
      <w:pPr>
        <w:adjustRightInd w:val="0"/>
        <w:snapToGrid w:val="0"/>
        <w:spacing w:line="360" w:lineRule="auto"/>
        <w:ind w:left="1421" w:leftChars="400" w:hanging="581" w:hangingChars="241"/>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rPr>
        <w:t>）三级预警：即将发生雷电，覆盖区域的大气电场剧烈波动，地闪回击点发生位置</w:t>
      </w:r>
      <w:r>
        <w:rPr>
          <w:rFonts w:hint="default" w:ascii="Times New Roman" w:hAnsi="Times New Roman" w:eastAsia="宋体" w:cs="Times New Roman"/>
          <w:sz w:val="24"/>
          <w:szCs w:val="24"/>
        </w:rPr>
        <w:t>距离石油化工企业0km-5km，造成雷击事故</w:t>
      </w:r>
      <w:r>
        <w:rPr>
          <w:rFonts w:hint="eastAsia" w:ascii="宋体" w:hAnsi="宋体" w:eastAsia="宋体" w:cs="宋体"/>
          <w:sz w:val="24"/>
          <w:szCs w:val="24"/>
        </w:rPr>
        <w:t>的可能性大。</w:t>
      </w:r>
    </w:p>
    <w:p>
      <w:pPr>
        <w:adjustRightInd w:val="0"/>
        <w:snapToGrid w:val="0"/>
        <w:spacing w:line="360" w:lineRule="auto"/>
        <w:ind w:firstLine="482" w:firstLineChars="200"/>
        <w:jc w:val="left"/>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12</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雷电预警系统宜设置于非防爆区如厂前区建筑物的高点；在不影响雷电探测范围的条件下，可设置于厂区空旷区域如绿化草坪等位置；如必须设置于防爆区，雷电预警系统应满足现场防爆要求。</w:t>
      </w:r>
      <w:bookmarkEnd w:id="45"/>
    </w:p>
    <w:p>
      <w:pPr>
        <w:adjustRightInd w:val="0"/>
        <w:snapToGrid w:val="0"/>
        <w:jc w:val="center"/>
        <w:outlineLvl w:val="0"/>
        <w:rPr>
          <w:rFonts w:hint="eastAsia" w:ascii="黑体" w:hAnsi="黑体" w:eastAsia="黑体"/>
          <w:sz w:val="28"/>
          <w:szCs w:val="28"/>
        </w:rPr>
      </w:pPr>
      <w:r>
        <w:rPr>
          <w:rFonts w:ascii="黑体" w:hAnsi="黑体" w:eastAsia="黑体"/>
          <w:sz w:val="24"/>
          <w:szCs w:val="24"/>
        </w:rPr>
        <w:br w:type="page"/>
      </w:r>
      <w:bookmarkStart w:id="46" w:name="_Toc33811214"/>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47" w:name="_Toc192871656"/>
      <w:bookmarkStart w:id="48" w:name="_Toc89867344"/>
      <w:bookmarkStart w:id="49" w:name="_Toc90114528"/>
      <w:bookmarkStart w:id="50" w:name="_Toc187409881"/>
      <w:bookmarkStart w:id="51" w:name="_Toc192872060"/>
      <w:r>
        <w:rPr>
          <w:rFonts w:hint="eastAsia" w:ascii="Times New Roman" w:hAnsi="Times New Roman" w:eastAsia="宋体" w:cs="Times New Roman"/>
          <w:b/>
          <w:bCs/>
          <w:color w:val="000000" w:themeColor="text1"/>
          <w:sz w:val="30"/>
          <w:szCs w:val="30"/>
          <w14:textFill>
            <w14:solidFill>
              <w14:schemeClr w14:val="tx1"/>
            </w14:solidFill>
          </w14:textFill>
        </w:rPr>
        <w:t xml:space="preserve">7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安装验收</w:t>
      </w:r>
      <w:bookmarkEnd w:id="46"/>
      <w:bookmarkEnd w:id="47"/>
      <w:bookmarkEnd w:id="48"/>
      <w:bookmarkEnd w:id="49"/>
      <w:bookmarkEnd w:id="50"/>
      <w:bookmarkEnd w:id="51"/>
    </w:p>
    <w:p>
      <w:pPr>
        <w:adjustRightInd w:val="0"/>
        <w:snapToGrid w:val="0"/>
        <w:spacing w:line="360" w:lineRule="auto"/>
        <w:rPr>
          <w:rFonts w:hint="eastAsia" w:ascii="黑体" w:hAnsi="黑体" w:eastAsia="黑体"/>
          <w:sz w:val="24"/>
          <w:szCs w:val="24"/>
        </w:rPr>
      </w:pPr>
      <w:bookmarkStart w:id="52" w:name="OLE_LINK7"/>
      <w:r>
        <w:rPr>
          <w:rFonts w:hint="eastAsia" w:ascii="Times New Roman" w:hAnsi="Times New Roman" w:eastAsia="宋体" w:cs="Times New Roman"/>
          <w:b/>
          <w:bCs/>
          <w:kern w:val="2"/>
          <w:sz w:val="24"/>
          <w:szCs w:val="24"/>
          <w:lang w:val="en-US" w:eastAsia="zh-CN" w:bidi="ar-SA"/>
        </w:rPr>
        <w:t>7.0.1</w:t>
      </w:r>
      <w:r>
        <w:rPr>
          <w:rFonts w:ascii="黑体" w:hAnsi="黑体" w:eastAsia="黑体"/>
          <w:sz w:val="24"/>
          <w:szCs w:val="24"/>
        </w:rPr>
        <w:t xml:space="preserve"> </w:t>
      </w:r>
      <w:r>
        <w:rPr>
          <w:rFonts w:hint="eastAsia" w:ascii="黑体" w:hAnsi="黑体" w:eastAsia="黑体"/>
          <w:sz w:val="24"/>
          <w:szCs w:val="24"/>
          <w:lang w:val="en-US" w:eastAsia="zh-CN"/>
        </w:rPr>
        <w:t xml:space="preserve"> </w:t>
      </w:r>
      <w:r>
        <w:rPr>
          <w:rFonts w:hint="eastAsia" w:ascii="宋体" w:hAnsi="宋体"/>
          <w:sz w:val="24"/>
          <w:szCs w:val="24"/>
        </w:rPr>
        <w:t>雷电预警系统应根据设计图纸、清单、产品手册等进行设备的安装。</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7.0.2</w:t>
      </w:r>
      <w:r>
        <w:rPr>
          <w:rFonts w:hint="eastAsia" w:ascii="黑体" w:hAnsi="黑体" w:eastAsia="黑体"/>
          <w:sz w:val="24"/>
          <w:szCs w:val="24"/>
        </w:rPr>
        <w:t xml:space="preserve"> </w:t>
      </w:r>
      <w:r>
        <w:rPr>
          <w:rFonts w:hint="eastAsia" w:ascii="黑体" w:hAnsi="黑体" w:eastAsia="黑体"/>
          <w:sz w:val="24"/>
          <w:szCs w:val="24"/>
          <w:lang w:val="en-US" w:eastAsia="zh-CN"/>
        </w:rPr>
        <w:t xml:space="preserve"> </w:t>
      </w:r>
      <w:r>
        <w:rPr>
          <w:rFonts w:hint="eastAsia" w:ascii="宋体" w:hAnsi="宋体"/>
          <w:sz w:val="24"/>
          <w:szCs w:val="24"/>
        </w:rPr>
        <w:t>雷电预警系统的安装包括硬件安装和软件安装。</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7.0.3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大气电场仪宜固定在水泥基座或其他可固定支撑的支架上，并应根据现场实际气象条件，充应分考虑防高等级台风的能力。</w:t>
      </w:r>
    </w:p>
    <w:p>
      <w:pPr>
        <w:adjustRightInd w:val="0"/>
        <w:snapToGrid w:val="0"/>
        <w:spacing w:line="360" w:lineRule="auto"/>
        <w:rPr>
          <w:rFonts w:hint="default" w:ascii="Times New Roman" w:hAnsi="Times New Roman" w:cs="Times New Roman"/>
          <w:sz w:val="24"/>
          <w:szCs w:val="24"/>
        </w:rPr>
      </w:pPr>
      <w:r>
        <w:rPr>
          <w:rFonts w:hint="eastAsia" w:ascii="Times New Roman" w:hAnsi="Times New Roman" w:eastAsia="宋体" w:cs="Times New Roman"/>
          <w:b/>
          <w:bCs/>
          <w:kern w:val="2"/>
          <w:sz w:val="24"/>
          <w:szCs w:val="24"/>
          <w:lang w:val="en-US" w:eastAsia="zh-CN" w:bidi="ar-SA"/>
        </w:rPr>
        <w:t>7.0.4</w:t>
      </w:r>
      <w:r>
        <w:rPr>
          <w:rFonts w:ascii="黑体" w:hAnsi="黑体" w:eastAsia="黑体"/>
          <w:sz w:val="24"/>
          <w:szCs w:val="24"/>
        </w:rPr>
        <w:t xml:space="preserve"> </w:t>
      </w:r>
      <w:r>
        <w:rPr>
          <w:rFonts w:hint="eastAsia" w:ascii="黑体" w:hAnsi="黑体" w:eastAsia="黑体"/>
          <w:sz w:val="24"/>
          <w:szCs w:val="24"/>
          <w:lang w:val="en-US" w:eastAsia="zh-CN"/>
        </w:rPr>
        <w:t xml:space="preserve"> </w:t>
      </w:r>
      <w:r>
        <w:rPr>
          <w:rFonts w:hint="eastAsia" w:ascii="宋体" w:hAnsi="宋体"/>
          <w:sz w:val="24"/>
          <w:szCs w:val="24"/>
        </w:rPr>
        <w:t>大气电场仪的水泥基座或金属支架应可靠接地，冲击接地电阻宜小于</w:t>
      </w:r>
      <w:r>
        <w:rPr>
          <w:rFonts w:hint="default" w:ascii="Times New Roman" w:hAnsi="Times New Roman" w:cs="Times New Roman"/>
          <w:sz w:val="24"/>
          <w:szCs w:val="24"/>
        </w:rPr>
        <w:t>10Ω。</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7.0.5</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金属构件之间应保持可靠的电气连通。</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7.0.6</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雷电预警系统的设备以及连接的电缆应安装在直击雷防护区域内，且应设置雷击电磁脉冲防护措施。</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7.0.7</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雷电预警系统的安装环境处于高盐雾的沿海或海岛时，应采取相应的防腐蚀措施。</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7.0.8</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软件安装应通过功能、性能和安全测试，并应在测试环境稳定运行</w:t>
      </w:r>
      <w:r>
        <w:rPr>
          <w:rFonts w:hint="default" w:ascii="Times New Roman" w:hAnsi="Times New Roman" w:cs="Times New Roman"/>
          <w:sz w:val="24"/>
          <w:szCs w:val="24"/>
        </w:rPr>
        <w:t>5天</w:t>
      </w:r>
      <w:r>
        <w:rPr>
          <w:rFonts w:hint="eastAsia" w:ascii="宋体" w:hAnsi="宋体"/>
          <w:sz w:val="24"/>
          <w:szCs w:val="24"/>
        </w:rPr>
        <w:t>后方可正式上线运行。</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7.0.9</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应根据设计图纸对系统设备数量、规格、安装位置、组网布线的正确性和完整性进行验收。</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7.0.10</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应根据设计要求对系统功能的准确性和完整性进行验收。</w:t>
      </w:r>
    </w:p>
    <w:bookmarkEnd w:id="52"/>
    <w:p>
      <w:pPr>
        <w:adjustRightInd w:val="0"/>
        <w:snapToGrid w:val="0"/>
        <w:jc w:val="center"/>
        <w:outlineLvl w:val="0"/>
        <w:rPr>
          <w:rFonts w:hint="eastAsia" w:ascii="黑体" w:hAnsi="黑体" w:eastAsia="黑体"/>
          <w:sz w:val="24"/>
          <w:szCs w:val="24"/>
        </w:rPr>
      </w:pPr>
      <w:r>
        <w:rPr>
          <w:rFonts w:ascii="黑体" w:hAnsi="黑体" w:eastAsia="黑体"/>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53" w:name="_Toc192871657"/>
      <w:bookmarkStart w:id="54" w:name="_Toc33811209"/>
      <w:bookmarkStart w:id="55" w:name="_Toc90114531"/>
      <w:bookmarkStart w:id="56" w:name="_Toc192872061"/>
      <w:bookmarkStart w:id="57" w:name="_Toc187409884"/>
      <w:bookmarkStart w:id="58" w:name="_Toc89867347"/>
      <w:r>
        <w:rPr>
          <w:rFonts w:hint="eastAsia" w:ascii="Times New Roman" w:hAnsi="Times New Roman" w:eastAsia="宋体" w:cs="Times New Roman"/>
          <w:b/>
          <w:bCs/>
          <w:color w:val="000000" w:themeColor="text1"/>
          <w:sz w:val="30"/>
          <w:szCs w:val="30"/>
          <w14:textFill>
            <w14:solidFill>
              <w14:schemeClr w14:val="tx1"/>
            </w14:solidFill>
          </w14:textFill>
        </w:rPr>
        <w:t xml:space="preserve">8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运行维护</w:t>
      </w:r>
      <w:bookmarkEnd w:id="53"/>
      <w:bookmarkEnd w:id="54"/>
      <w:bookmarkEnd w:id="55"/>
      <w:bookmarkEnd w:id="56"/>
      <w:bookmarkEnd w:id="57"/>
      <w:bookmarkEnd w:id="58"/>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8.0.1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宜每天检查并确认雷电预警系统的各个硬件设备及软件接口处于正常运行状态。</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8.0.2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无法正常接收雷电探测模块数据时，应立即检查设备运行状态及通信情况。</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8.0.3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当预警应用需求发生变化时，应立即对目标数据进行新增或修改。</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 xml:space="preserve">8.0.4 </w:t>
      </w:r>
      <w:r>
        <w:rPr>
          <w:rFonts w:hint="eastAsia" w:cs="Times New Roman"/>
          <w:b/>
          <w:bCs/>
          <w:kern w:val="2"/>
          <w:sz w:val="24"/>
          <w:szCs w:val="24"/>
          <w:lang w:val="en-US" w:eastAsia="zh-CN" w:bidi="ar-SA"/>
        </w:rPr>
        <w:t xml:space="preserve"> </w:t>
      </w:r>
      <w:r>
        <w:rPr>
          <w:rFonts w:hint="eastAsia" w:ascii="宋体" w:hAnsi="宋体"/>
          <w:sz w:val="24"/>
          <w:szCs w:val="24"/>
        </w:rPr>
        <w:t>对雷电预警结果数据宜每周进行一次备份。雷电预警系统的运行数据、事件记录和运维记录宜每年定期打印存档。</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8.0.5</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雷电预警结果数据宜列入企业防雷防静电设备设施综合电子台账，并结合检查数据及时更新。</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8.0.6</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每年雨季之前，应及时对硬件设备、网络接口、软件平台及周边环境进行检查，确保雷电预警系统处于正常运行状态，包括大气电场仪、主机、机箱内温湿度条件、太阳能组件电池板、蓄电池等。</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8.0.7</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宜以半年为周期进行运行优化调整。</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8.0.8</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当雷电预警系统安装于海边等高盐雾或腐蚀性严重的环境，宜每</w:t>
      </w:r>
      <w:r>
        <w:rPr>
          <w:rFonts w:hint="default" w:ascii="Times New Roman" w:hAnsi="Times New Roman" w:cs="Times New Roman"/>
          <w:sz w:val="24"/>
          <w:szCs w:val="24"/>
        </w:rPr>
        <w:t>6</w:t>
      </w:r>
      <w:r>
        <w:rPr>
          <w:rFonts w:hint="eastAsia" w:ascii="宋体" w:hAnsi="宋体"/>
          <w:sz w:val="24"/>
          <w:szCs w:val="24"/>
        </w:rPr>
        <w:t>个月进行一次针对现场设备的检测和维护，其它环境应每</w:t>
      </w:r>
      <w:r>
        <w:rPr>
          <w:rFonts w:hint="default" w:ascii="Times New Roman" w:hAnsi="Times New Roman" w:cs="Times New Roman"/>
          <w:sz w:val="24"/>
          <w:szCs w:val="24"/>
        </w:rPr>
        <w:t>12</w:t>
      </w:r>
      <w:r>
        <w:rPr>
          <w:rFonts w:hint="eastAsia" w:ascii="宋体" w:hAnsi="宋体"/>
          <w:sz w:val="24"/>
          <w:szCs w:val="24"/>
        </w:rPr>
        <w:t>个月进行一次针对现场设备的检测和维护。</w:t>
      </w:r>
    </w:p>
    <w:p>
      <w:pPr>
        <w:adjustRightInd w:val="0"/>
        <w:snapToGrid w:val="0"/>
        <w:spacing w:line="288" w:lineRule="auto"/>
        <w:jc w:val="left"/>
        <w:rPr>
          <w:rFonts w:hint="eastAsia" w:ascii="宋体" w:hAnsi="宋体"/>
          <w:sz w:val="24"/>
          <w:szCs w:val="24"/>
        </w:rPr>
      </w:pPr>
      <w:r>
        <w:rPr>
          <w:rFonts w:ascii="黑体" w:hAnsi="黑体" w:eastAsia="黑体"/>
          <w:sz w:val="24"/>
          <w:szCs w:val="24"/>
        </w:rPr>
        <w:t xml:space="preserve"> </w:t>
      </w:r>
      <w:r>
        <w:rPr>
          <w:rFonts w:ascii="宋体" w:hAnsi="宋体"/>
          <w:sz w:val="24"/>
          <w:szCs w:val="24"/>
        </w:rPr>
        <w:br w:type="page"/>
      </w:r>
    </w:p>
    <w:bookmarkEnd w:id="44"/>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59" w:name="_Toc89867353"/>
      <w:bookmarkStart w:id="60" w:name="_Toc192871658"/>
      <w:bookmarkStart w:id="61" w:name="_Toc187409888"/>
      <w:bookmarkStart w:id="62" w:name="_Toc90114537"/>
      <w:bookmarkStart w:id="63" w:name="_Toc192872062"/>
      <w:r>
        <w:rPr>
          <w:rFonts w:hint="eastAsia" w:ascii="Times New Roman" w:hAnsi="Times New Roman" w:eastAsia="宋体" w:cs="Times New Roman"/>
          <w:b/>
          <w:bCs/>
          <w:color w:val="000000" w:themeColor="text1"/>
          <w:sz w:val="30"/>
          <w:szCs w:val="30"/>
          <w14:textFill>
            <w14:solidFill>
              <w14:schemeClr w14:val="tx1"/>
            </w14:solidFill>
          </w14:textFill>
        </w:rPr>
        <w:t>本标准用词说明</w:t>
      </w:r>
      <w:bookmarkEnd w:id="59"/>
      <w:bookmarkEnd w:id="60"/>
      <w:bookmarkEnd w:id="61"/>
      <w:bookmarkEnd w:id="62"/>
      <w:bookmarkEnd w:id="63"/>
    </w:p>
    <w:p>
      <w:pPr>
        <w:pStyle w:val="12"/>
        <w:spacing w:before="0" w:beforeAutospacing="0" w:after="0" w:afterAutospacing="0" w:line="360" w:lineRule="auto"/>
        <w:rPr>
          <w:rFonts w:hint="eastAsia"/>
        </w:rPr>
      </w:pPr>
      <w:r>
        <w:rPr>
          <w:rFonts w:hint="eastAsia" w:ascii="Times New Roman" w:hAnsi="Times New Roman" w:eastAsia="宋体" w:cs="Times New Roman"/>
          <w:b/>
          <w:bCs/>
          <w:kern w:val="2"/>
          <w:sz w:val="24"/>
          <w:szCs w:val="24"/>
          <w:lang w:val="en-US" w:eastAsia="zh-CN" w:bidi="ar-SA"/>
        </w:rPr>
        <w:t>1</w:t>
      </w:r>
      <w:r>
        <w:t xml:space="preserve"> 为便于在执行本</w:t>
      </w:r>
      <w:r>
        <w:rPr>
          <w:rFonts w:hint="eastAsia"/>
        </w:rPr>
        <w:t>标准</w:t>
      </w:r>
      <w:r>
        <w:t>条文时区别对待，对要求严格程度不同的用词说明如下：</w:t>
      </w:r>
    </w:p>
    <w:p>
      <w:pPr>
        <w:pStyle w:val="12"/>
        <w:spacing w:before="0" w:beforeAutospacing="0" w:after="0" w:afterAutospacing="0" w:line="360" w:lineRule="auto"/>
        <w:ind w:firstLine="482" w:firstLineChars="200"/>
        <w:rPr>
          <w:rFonts w:hint="eastAsia"/>
        </w:rPr>
      </w:pPr>
      <w:r>
        <w:rPr>
          <w:rFonts w:hint="eastAsia" w:ascii="Times New Roman" w:hAnsi="Times New Roman" w:eastAsia="宋体" w:cs="Times New Roman"/>
          <w:b/>
          <w:bCs/>
          <w:kern w:val="2"/>
          <w:sz w:val="24"/>
          <w:szCs w:val="24"/>
          <w:lang w:val="en-US" w:eastAsia="zh-CN" w:bidi="ar-SA"/>
        </w:rPr>
        <w:t>1</w:t>
      </w:r>
      <w:r>
        <w:rPr>
          <w:rFonts w:hint="eastAsia" w:ascii="Times New Roman" w:hAnsi="Times New Roman" w:cs="Times New Roman"/>
          <w:b w:val="0"/>
          <w:bCs w:val="0"/>
          <w:kern w:val="2"/>
          <w:sz w:val="24"/>
          <w:szCs w:val="24"/>
          <w:lang w:val="en-US" w:eastAsia="zh-CN" w:bidi="ar-SA"/>
        </w:rPr>
        <w:t>）</w:t>
      </w:r>
      <w:r>
        <w:t>表示很严格，非这样做不可的：</w:t>
      </w:r>
    </w:p>
    <w:p>
      <w:pPr>
        <w:pStyle w:val="12"/>
        <w:spacing w:before="0" w:beforeAutospacing="0" w:after="0" w:afterAutospacing="0" w:line="360" w:lineRule="auto"/>
        <w:ind w:firstLine="720" w:firstLineChars="300"/>
        <w:rPr>
          <w:rFonts w:hint="eastAsia"/>
        </w:rPr>
      </w:pPr>
      <w:r>
        <w:t>正面词采用“必须”，反面词采用“严禁”；</w:t>
      </w:r>
    </w:p>
    <w:p>
      <w:pPr>
        <w:pStyle w:val="12"/>
        <w:spacing w:before="0" w:beforeAutospacing="0" w:after="0" w:afterAutospacing="0" w:line="360" w:lineRule="auto"/>
        <w:ind w:firstLine="482" w:firstLineChars="200"/>
        <w:rPr>
          <w:rFonts w:hint="eastAsia"/>
        </w:rPr>
      </w:pPr>
      <w:r>
        <w:rPr>
          <w:rFonts w:hint="eastAsia" w:ascii="Times New Roman" w:hAnsi="Times New Roman" w:eastAsia="宋体" w:cs="Times New Roman"/>
          <w:b/>
          <w:bCs/>
          <w:kern w:val="2"/>
          <w:sz w:val="24"/>
          <w:szCs w:val="24"/>
          <w:lang w:val="en-US" w:eastAsia="zh-CN" w:bidi="ar-SA"/>
        </w:rPr>
        <w:t>2</w:t>
      </w:r>
      <w:r>
        <w:rPr>
          <w:rFonts w:hint="eastAsia" w:ascii="Times New Roman" w:hAnsi="Times New Roman" w:cs="Times New Roman"/>
          <w:b w:val="0"/>
          <w:bCs w:val="0"/>
          <w:kern w:val="2"/>
          <w:sz w:val="24"/>
          <w:szCs w:val="24"/>
          <w:lang w:val="en-US" w:eastAsia="zh-CN" w:bidi="ar-SA"/>
        </w:rPr>
        <w:t>）</w:t>
      </w:r>
      <w:r>
        <w:t>表示严格，在正常情况下均应这样做的：</w:t>
      </w:r>
    </w:p>
    <w:p>
      <w:pPr>
        <w:pStyle w:val="12"/>
        <w:spacing w:before="0" w:beforeAutospacing="0" w:after="0" w:afterAutospacing="0" w:line="360" w:lineRule="auto"/>
        <w:ind w:firstLine="720" w:firstLineChars="300"/>
        <w:rPr>
          <w:rFonts w:hint="eastAsia"/>
        </w:rPr>
      </w:pPr>
      <w:r>
        <w:t>正面词采用“应”，反面词采用“不应”或“不得”；</w:t>
      </w:r>
    </w:p>
    <w:p>
      <w:pPr>
        <w:pStyle w:val="12"/>
        <w:spacing w:before="0" w:beforeAutospacing="0" w:after="0" w:afterAutospacing="0" w:line="360" w:lineRule="auto"/>
        <w:ind w:firstLine="482" w:firstLineChars="200"/>
        <w:rPr>
          <w:rFonts w:hint="eastAsia"/>
        </w:rPr>
      </w:pPr>
      <w:r>
        <w:rPr>
          <w:rFonts w:hint="eastAsia" w:ascii="Times New Roman" w:hAnsi="Times New Roman" w:eastAsia="宋体" w:cs="Times New Roman"/>
          <w:b/>
          <w:bCs/>
          <w:kern w:val="2"/>
          <w:sz w:val="24"/>
          <w:szCs w:val="24"/>
          <w:lang w:val="en-US" w:eastAsia="zh-CN" w:bidi="ar-SA"/>
        </w:rPr>
        <w:t>3</w:t>
      </w:r>
      <w:r>
        <w:rPr>
          <w:rFonts w:hint="eastAsia" w:ascii="Times New Roman" w:hAnsi="Times New Roman" w:cs="Times New Roman"/>
          <w:b w:val="0"/>
          <w:bCs w:val="0"/>
          <w:kern w:val="2"/>
          <w:sz w:val="24"/>
          <w:szCs w:val="24"/>
          <w:lang w:val="en-US" w:eastAsia="zh-CN" w:bidi="ar-SA"/>
        </w:rPr>
        <w:t>）</w:t>
      </w:r>
      <w:r>
        <w:t>表示允许稍有选择，在条件许可时首先应这样做的：</w:t>
      </w:r>
      <w:r>
        <w:br w:type="textWrapping"/>
      </w:r>
      <w:r>
        <w:t xml:space="preserve">      正面词采用“宜”，反面词采用“不宜”；</w:t>
      </w:r>
    </w:p>
    <w:p>
      <w:pPr>
        <w:pStyle w:val="12"/>
        <w:spacing w:before="0" w:beforeAutospacing="0" w:after="0" w:afterAutospacing="0" w:line="360" w:lineRule="auto"/>
        <w:ind w:firstLine="482" w:firstLineChars="200"/>
        <w:rPr>
          <w:rFonts w:hint="eastAsia"/>
        </w:rPr>
      </w:pPr>
      <w:r>
        <w:rPr>
          <w:rFonts w:hint="eastAsia" w:ascii="Times New Roman" w:hAnsi="Times New Roman" w:eastAsia="宋体" w:cs="Times New Roman"/>
          <w:b/>
          <w:bCs/>
          <w:kern w:val="2"/>
          <w:sz w:val="24"/>
          <w:szCs w:val="24"/>
          <w:lang w:val="en-US" w:eastAsia="zh-CN" w:bidi="ar-SA"/>
        </w:rPr>
        <w:t>4</w:t>
      </w:r>
      <w:r>
        <w:rPr>
          <w:rFonts w:hint="eastAsia" w:ascii="Times New Roman" w:hAnsi="Times New Roman" w:cs="Times New Roman"/>
          <w:b w:val="0"/>
          <w:bCs w:val="0"/>
          <w:kern w:val="2"/>
          <w:sz w:val="24"/>
          <w:szCs w:val="24"/>
          <w:lang w:val="en-US" w:eastAsia="zh-CN" w:bidi="ar-SA"/>
        </w:rPr>
        <w:t>）</w:t>
      </w:r>
      <w:r>
        <w:t>表示有选择，在一定条件下可以这样做的，采用“可”。</w:t>
      </w:r>
    </w:p>
    <w:p>
      <w:pPr>
        <w:pStyle w:val="12"/>
        <w:spacing w:before="0" w:beforeAutospacing="0" w:after="0" w:afterAutospacing="0" w:line="360" w:lineRule="auto"/>
        <w:rPr>
          <w:rFonts w:hint="eastAsia"/>
        </w:rPr>
      </w:pPr>
      <w:r>
        <w:rPr>
          <w:rFonts w:hint="eastAsia" w:ascii="Times New Roman" w:hAnsi="Times New Roman" w:eastAsia="宋体" w:cs="Times New Roman"/>
          <w:b/>
          <w:bCs/>
          <w:kern w:val="2"/>
          <w:sz w:val="24"/>
          <w:szCs w:val="24"/>
          <w:lang w:val="en-US" w:eastAsia="zh-CN" w:bidi="ar-SA"/>
        </w:rPr>
        <w:t>2</w:t>
      </w:r>
      <w:r>
        <w:t xml:space="preserve"> 条文中指明应按其他有关标准执行的写法为：“应符合……的规定”或“应按……执行”。</w:t>
      </w:r>
    </w:p>
    <w:p>
      <w:pPr>
        <w:pStyle w:val="12"/>
        <w:jc w:val="center"/>
        <w:rPr>
          <w:rFonts w:hint="eastAsia"/>
          <w:b/>
          <w:bCs/>
        </w:rPr>
      </w:pPr>
      <w:r>
        <w:rPr>
          <w:b/>
          <w:bCs/>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64" w:name="_Toc192871659"/>
      <w:bookmarkStart w:id="65" w:name="_Toc89867354"/>
      <w:bookmarkStart w:id="66" w:name="_Toc90114538"/>
      <w:bookmarkStart w:id="67" w:name="_Toc187409889"/>
      <w:bookmarkStart w:id="68" w:name="_Toc192872063"/>
      <w:r>
        <w:rPr>
          <w:rFonts w:hint="eastAsia" w:ascii="Times New Roman" w:hAnsi="Times New Roman" w:eastAsia="宋体" w:cs="Times New Roman"/>
          <w:b/>
          <w:bCs/>
          <w:color w:val="000000" w:themeColor="text1"/>
          <w:sz w:val="30"/>
          <w:szCs w:val="30"/>
          <w14:textFill>
            <w14:solidFill>
              <w14:schemeClr w14:val="tx1"/>
            </w14:solidFill>
          </w14:textFill>
        </w:rPr>
        <w:t>引用标准名录</w:t>
      </w:r>
      <w:bookmarkEnd w:id="64"/>
      <w:bookmarkEnd w:id="65"/>
      <w:bookmarkEnd w:id="66"/>
      <w:bookmarkEnd w:id="67"/>
      <w:bookmarkEnd w:id="68"/>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《石油化工装置防雷设计规范》GB 50650</w:t>
      </w:r>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《危险化学品重大危险源安全监控技术规范》GB 17681</w:t>
      </w:r>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《雷电防护 雷暴预警系统》GB/T 38121</w:t>
      </w:r>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《基于雷电定位系统的雷电临近预警技术规范》GB/T 40619</w:t>
      </w:r>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《雷电临近预警系统技术指南》QX/T 262</w:t>
      </w:r>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《地面大气电场观测规范》QX/T 594</w:t>
      </w:r>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《爆炸和火灾危险场所雷电监测预警技术要求》T/CMSA 0012</w:t>
      </w:r>
    </w:p>
    <w:p>
      <w:pPr>
        <w:spacing w:line="360" w:lineRule="auto"/>
        <w:ind w:firstLine="420"/>
        <w:rPr>
          <w:rFonts w:hint="default" w:ascii="Times New Roman" w:hAnsi="Times New Roman" w:cs="Times New Roman"/>
          <w:sz w:val="24"/>
          <w:szCs w:val="24"/>
        </w:rPr>
      </w:pPr>
      <w:r>
        <w:rPr>
          <w:rFonts w:hint="default" w:ascii="Times New Roman" w:hAnsi="Times New Roman" w:cs="Times New Roman"/>
          <w:sz w:val="24"/>
          <w:szCs w:val="24"/>
        </w:rPr>
        <w:t>《雷电预警系统技术规程》T/CECS 688</w:t>
      </w:r>
    </w:p>
    <w:p>
      <w:pPr>
        <w:adjustRightInd w:val="0"/>
        <w:snapToGrid w:val="0"/>
        <w:spacing w:line="312" w:lineRule="auto"/>
        <w:jc w:val="center"/>
        <w:rPr>
          <w:rFonts w:hint="eastAsia" w:ascii="黑体" w:hAnsi="黑体" w:eastAsia="黑体"/>
          <w:sz w:val="24"/>
          <w:szCs w:val="24"/>
        </w:rPr>
      </w:pPr>
      <w:r>
        <w:rPr>
          <w:rFonts w:ascii="黑体" w:hAnsi="黑体" w:eastAsia="黑体"/>
          <w:sz w:val="24"/>
          <w:szCs w:val="24"/>
        </w:rPr>
        <w:br w:type="page"/>
      </w:r>
    </w:p>
    <w:p>
      <w:pPr>
        <w:rPr>
          <w:color w:val="auto"/>
        </w:rPr>
      </w:pPr>
    </w:p>
    <w:p>
      <w:pPr>
        <w:rPr>
          <w:color w:val="auto"/>
        </w:rPr>
      </w:pPr>
    </w:p>
    <w:p>
      <w:pPr>
        <w:rPr>
          <w:color w:val="auto"/>
        </w:rPr>
      </w:pPr>
    </w:p>
    <w:p>
      <w:pPr>
        <w:jc w:val="center"/>
        <w:rPr>
          <w:color w:val="auto"/>
          <w:sz w:val="36"/>
          <w:szCs w:val="36"/>
        </w:rPr>
      </w:pPr>
      <w:r>
        <w:rPr>
          <w:rFonts w:hint="eastAsia"/>
          <w:color w:val="auto"/>
          <w:sz w:val="36"/>
          <w:szCs w:val="36"/>
        </w:rPr>
        <w:t>中国石油和化工勘察设计协会团体标准</w:t>
      </w:r>
    </w:p>
    <w:p>
      <w:pPr>
        <w:rPr>
          <w:color w:val="auto"/>
        </w:rPr>
      </w:pPr>
    </w:p>
    <w:p>
      <w:pPr>
        <w:rPr>
          <w:color w:val="auto"/>
        </w:rPr>
      </w:pPr>
    </w:p>
    <w:p>
      <w:pPr>
        <w:keepNext w:val="0"/>
        <w:keepLines w:val="0"/>
        <w:pageBreakBefore w:val="0"/>
        <w:widowControl w:val="0"/>
        <w:kinsoku/>
        <w:wordWrap/>
        <w:overflowPunct/>
        <w:topLinePunct w:val="0"/>
        <w:autoSpaceDE/>
        <w:autoSpaceDN/>
        <w:bidi w:val="0"/>
        <w:adjustRightInd/>
        <w:snapToGrid/>
        <w:spacing w:before="240"/>
        <w:jc w:val="center"/>
        <w:textAlignment w:val="auto"/>
        <w:rPr>
          <w:rFonts w:hint="eastAsia" w:ascii="宋体" w:hAnsi="宋体"/>
          <w:b/>
          <w:bCs/>
          <w:sz w:val="44"/>
          <w:szCs w:val="44"/>
        </w:rPr>
      </w:pPr>
      <w:r>
        <w:rPr>
          <w:rFonts w:hint="eastAsia" w:ascii="宋体" w:hAnsi="宋体"/>
          <w:b/>
          <w:bCs/>
          <w:sz w:val="44"/>
          <w:szCs w:val="44"/>
        </w:rPr>
        <w:t>石油化工企业雷电预警系统设计规范</w:t>
      </w:r>
    </w:p>
    <w:p>
      <w:pPr>
        <w:keepNext w:val="0"/>
        <w:keepLines w:val="0"/>
        <w:pageBreakBefore w:val="0"/>
        <w:widowControl w:val="0"/>
        <w:kinsoku/>
        <w:wordWrap/>
        <w:overflowPunct/>
        <w:topLinePunct w:val="0"/>
        <w:autoSpaceDE/>
        <w:autoSpaceDN/>
        <w:bidi w:val="0"/>
        <w:adjustRightInd/>
        <w:snapToGrid/>
        <w:spacing w:before="120" w:after="240"/>
        <w:jc w:val="both"/>
        <w:textAlignment w:val="auto"/>
        <w:rPr>
          <w:rFonts w:hint="eastAsia" w:ascii="宋体" w:hAnsi="宋体"/>
          <w:b/>
          <w:bCs/>
          <w:color w:val="000000" w:themeColor="text1"/>
          <w:sz w:val="44"/>
          <w:szCs w:val="44"/>
          <w14:textFill>
            <w14:solidFill>
              <w14:schemeClr w14:val="tx1"/>
            </w14:solidFill>
          </w14:textFill>
        </w:rPr>
      </w:pPr>
    </w:p>
    <w:p>
      <w:pPr>
        <w:jc w:val="center"/>
        <w:rPr>
          <w:color w:val="auto"/>
          <w:sz w:val="32"/>
          <w:szCs w:val="32"/>
        </w:rPr>
      </w:pPr>
      <w:r>
        <w:rPr>
          <w:color w:val="auto"/>
          <w:sz w:val="32"/>
          <w:szCs w:val="32"/>
        </w:rPr>
        <w:t xml:space="preserve">T/HGJ </w:t>
      </w:r>
      <w:r>
        <w:rPr>
          <w:rFonts w:hint="eastAsia"/>
          <w:color w:val="auto"/>
          <w:sz w:val="32"/>
          <w:szCs w:val="32"/>
        </w:rPr>
        <w:t>1486</w:t>
      </w:r>
      <w:r>
        <w:rPr>
          <w:rFonts w:hint="eastAsia"/>
          <w:color w:val="auto"/>
          <w:sz w:val="32"/>
          <w:szCs w:val="32"/>
          <w:lang w:val="en-US" w:eastAsia="zh-CN"/>
        </w:rPr>
        <w:t>2</w:t>
      </w:r>
      <w:r>
        <w:rPr>
          <w:color w:val="auto"/>
          <w:sz w:val="32"/>
          <w:szCs w:val="32"/>
        </w:rPr>
        <w:t>-</w:t>
      </w:r>
      <w:r>
        <w:rPr>
          <w:rFonts w:hint="eastAsia"/>
          <w:color w:val="auto"/>
          <w:sz w:val="32"/>
          <w:szCs w:val="32"/>
        </w:rPr>
        <w:t>YYYY</w:t>
      </w:r>
    </w:p>
    <w:p>
      <w:pPr>
        <w:rPr>
          <w:color w:val="auto"/>
          <w:sz w:val="32"/>
          <w:szCs w:val="32"/>
        </w:rPr>
      </w:pPr>
    </w:p>
    <w:p>
      <w:pPr>
        <w:pStyle w:val="12"/>
        <w:tabs>
          <w:tab w:val="left" w:pos="709"/>
        </w:tabs>
        <w:spacing w:line="360" w:lineRule="auto"/>
        <w:jc w:val="center"/>
        <w:outlineLvl w:val="0"/>
        <w:rPr>
          <w:rFonts w:cs="Times New Roman"/>
          <w:sz w:val="32"/>
          <w:szCs w:val="32"/>
        </w:rPr>
      </w:pPr>
      <w:bookmarkStart w:id="69" w:name="_Toc202355175"/>
      <w:bookmarkStart w:id="70" w:name="_Toc171535027"/>
      <w:bookmarkStart w:id="71" w:name="条文说明"/>
      <w:r>
        <w:rPr>
          <w:rFonts w:hint="eastAsia" w:cs="Times New Roman"/>
          <w:sz w:val="32"/>
          <w:szCs w:val="32"/>
        </w:rPr>
        <w:t>条 文 说 明</w:t>
      </w:r>
      <w:bookmarkEnd w:id="69"/>
      <w:bookmarkEnd w:id="70"/>
    </w:p>
    <w:bookmarkEnd w:id="71"/>
    <w:p>
      <w:pPr>
        <w:widowControl/>
        <w:jc w:val="left"/>
        <w:rPr>
          <w:rFonts w:cs="Times New Roman" w:asciiTheme="minorEastAsia" w:hAnsiTheme="minorEastAsia" w:eastAsiaTheme="minorEastAsia"/>
          <w:color w:val="auto"/>
        </w:rPr>
      </w:pPr>
      <w:r>
        <w:rPr>
          <w:rFonts w:hint="eastAsia" w:cs="Times New Roman" w:asciiTheme="minorEastAsia" w:hAnsiTheme="minorEastAsia" w:eastAsiaTheme="minorEastAsia"/>
          <w:color w:val="auto"/>
        </w:rPr>
        <w:br w:type="page"/>
      </w:r>
    </w:p>
    <w:p>
      <w:pPr>
        <w:keepNext w:val="0"/>
        <w:keepLines w:val="0"/>
        <w:pageBreakBefore w:val="0"/>
        <w:widowControl w:val="0"/>
        <w:kinsoku/>
        <w:wordWrap/>
        <w:overflowPunct/>
        <w:topLinePunct w:val="0"/>
        <w:autoSpaceDE/>
        <w:autoSpaceDN/>
        <w:bidi w:val="0"/>
        <w:adjustRightInd w:val="0"/>
        <w:snapToGrid w:val="0"/>
        <w:spacing w:before="240" w:after="240" w:line="240" w:lineRule="auto"/>
        <w:jc w:val="center"/>
        <w:textAlignment w:val="auto"/>
        <w:outlineLvl w:val="0"/>
        <w:rPr>
          <w:rFonts w:hint="eastAsia" w:ascii="黑体" w:hAnsi="黑体" w:eastAsia="黑体" w:cs="黑体"/>
          <w:color w:val="000000" w:themeColor="text1"/>
          <w:sz w:val="32"/>
          <w:szCs w:val="32"/>
          <w14:textFill>
            <w14:solidFill>
              <w14:schemeClr w14:val="tx1"/>
            </w14:solidFill>
          </w14:textFill>
        </w:rPr>
      </w:pPr>
      <w:bookmarkStart w:id="72" w:name="_Toc83559537"/>
      <w:r>
        <w:rPr>
          <w:rFonts w:hint="eastAsia" w:ascii="黑体" w:hAnsi="黑体" w:eastAsia="黑体" w:cs="黑体"/>
          <w:color w:val="000000" w:themeColor="text1"/>
          <w:sz w:val="32"/>
          <w:szCs w:val="32"/>
          <w14:textFill>
            <w14:solidFill>
              <w14:schemeClr w14:val="tx1"/>
            </w14:solidFill>
          </w14:textFill>
        </w:rPr>
        <w:t>制 订 说 明</w:t>
      </w:r>
      <w:bookmarkEnd w:id="72"/>
    </w:p>
    <w:p>
      <w:pPr>
        <w:adjustRightInd w:val="0"/>
        <w:snapToGrid w:val="0"/>
        <w:spacing w:line="312" w:lineRule="auto"/>
        <w:jc w:val="center"/>
        <w:rPr>
          <w:rFonts w:hint="eastAsia" w:ascii="宋体" w:hAnsi="宋体"/>
          <w:color w:val="000000" w:themeColor="text1"/>
          <w:sz w:val="32"/>
          <w:szCs w:val="32"/>
          <w14:textFill>
            <w14:solidFill>
              <w14:schemeClr w14:val="tx1"/>
            </w14:solidFill>
          </w14:textFill>
        </w:rPr>
      </w:pPr>
    </w:p>
    <w:p>
      <w:pPr>
        <w:pStyle w:val="46"/>
        <w:spacing w:line="360" w:lineRule="auto"/>
        <w:ind w:firstLine="436"/>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《石油化工企业雷电预警系统设计规范》T/HGJ 14862-202Y，经中国石油和化工勘察设计协会202Y年M月D日以第XX号公告批准发布。</w:t>
      </w:r>
    </w:p>
    <w:p>
      <w:pPr>
        <w:pStyle w:val="46"/>
        <w:spacing w:line="360" w:lineRule="auto"/>
        <w:ind w:firstLine="436"/>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本规范制订过程中，编制组进行了化工企业雷电预警系统设计的调查研究，总结了我国工程建设雷电预警系统设计的实践经验，同时参考了国外先进技术法规、技术标准。</w:t>
      </w:r>
    </w:p>
    <w:p>
      <w:pPr>
        <w:pStyle w:val="46"/>
        <w:spacing w:line="360" w:lineRule="auto"/>
        <w:ind w:firstLine="428"/>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为便于广大设计、施工、科研、学校等单位有关人员在使用本规范时能正确理解和执行条文规定，团体标准《石油化工企业雷电预警系统设计规范》</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T/HGJ 14862-202Y</w:t>
      </w: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编制组按章、节、条顺序编制了本规范的条文说明，对条文规定的目的、依据以及执行中需注意的有关事项进行了说明。但是，本条文说明不具备与规范正文同等的法律效力，仅供使用者作为理解和把握规范规定的参考。</w:t>
      </w:r>
    </w:p>
    <w:p>
      <w:pPr>
        <w:pStyle w:val="46"/>
        <w:spacing w:line="360" w:lineRule="auto"/>
        <w:ind w:firstLine="428"/>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本规范为首次发布。</w:t>
      </w:r>
    </w:p>
    <w:p>
      <w:pPr>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480" w:lineRule="auto"/>
        <w:jc w:val="center"/>
        <w:textAlignment w:val="auto"/>
        <w:outlineLvl w:val="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目  </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次</w:t>
      </w:r>
    </w:p>
    <w:sdt>
      <w:sdtPr>
        <w:rPr>
          <w:sz w:val="24"/>
          <w:szCs w:val="24"/>
          <w:lang w:val="zh-CN"/>
        </w:rPr>
        <w:id w:val="-1334439393"/>
        <w:docPartObj>
          <w:docPartGallery w:val="Table of Contents"/>
          <w:docPartUnique/>
        </w:docPartObj>
      </w:sdtPr>
      <w:sdtEndPr>
        <w:rPr>
          <w:b/>
          <w:bCs/>
          <w:sz w:val="24"/>
          <w:szCs w:val="24"/>
          <w:lang w:val="zh-CN"/>
        </w:rPr>
      </w:sdtEndPr>
      <w:sdtContent>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TOC \o "1-3" \h \z \u </w:instrText>
          </w:r>
          <w:r>
            <w:rPr>
              <w:rFonts w:hint="default" w:ascii="Times New Roman" w:hAnsi="Times New Roman" w:cs="Times New Roman"/>
              <w:sz w:val="24"/>
              <w:szCs w:val="24"/>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"_Toc192872065"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1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总则</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15</w:t>
          </w:r>
          <w:r>
            <w:rPr>
              <w:rFonts w:hint="eastAsia" w:cs="Times New Roman"/>
              <w:sz w:val="24"/>
              <w:szCs w:val="24"/>
              <w:lang w:eastAsia="zh-CN"/>
            </w:rPr>
            <w:t>）</w:t>
          </w:r>
        </w:p>
        <w:p>
          <w:pPr>
            <w:pStyle w:val="9"/>
            <w:tabs>
              <w:tab w:val="right" w:leader="dot" w:pos="8302"/>
            </w:tabs>
            <w:spacing w:line="360" w:lineRule="auto"/>
            <w:rPr>
              <w:rFonts w:hint="eastAsia" w:ascii="Times New Roman" w:hAnsi="Times New Roman" w:eastAsia="宋体" w:cs="Times New Roman"/>
              <w:sz w:val="24"/>
              <w:szCs w:val="24"/>
              <w:lang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"_Toc192872066"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2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术语</w:t>
          </w:r>
          <w:r>
            <w:rPr>
              <w:rFonts w:hint="default" w:ascii="Times New Roman" w:hAnsi="Times New Roman" w:eastAsia="宋体" w:cs="Times New Roman"/>
              <w:sz w:val="24"/>
              <w:szCs w:val="24"/>
            </w:rPr>
            <w:tab/>
          </w:r>
          <w:r>
            <w:rPr>
              <w:rFonts w:hint="eastAsia" w:cs="Times New Roman"/>
              <w:sz w:val="24"/>
              <w:szCs w:val="24"/>
              <w:lang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16</w:t>
          </w:r>
          <w:r>
            <w:rPr>
              <w:rFonts w:hint="eastAsia" w:cs="Times New Roman"/>
              <w:sz w:val="24"/>
              <w:szCs w:val="24"/>
              <w:lang w:eastAsia="zh-CN"/>
            </w:rPr>
            <w:t>）</w:t>
          </w:r>
        </w:p>
        <w:p>
          <w:pPr>
            <w:pStyle w:val="9"/>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"_Toc192872067"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3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基本规定</w:t>
          </w:r>
          <w:r>
            <w:rPr>
              <w:rFonts w:hint="default" w:ascii="Times New Roman" w:hAnsi="Times New Roman" w:eastAsia="宋体" w:cs="Times New Roman"/>
              <w:sz w:val="24"/>
              <w:szCs w:val="24"/>
            </w:rPr>
            <w:tab/>
          </w:r>
          <w:r>
            <w:rPr>
              <w:rFonts w:hint="eastAsia"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17</w:t>
          </w:r>
          <w:r>
            <w:rPr>
              <w:rFonts w:hint="eastAsia" w:cs="Times New Roman"/>
              <w:sz w:val="24"/>
              <w:szCs w:val="24"/>
              <w:lang w:eastAsia="zh-CN"/>
            </w:rPr>
            <w:t>）</w:t>
          </w:r>
        </w:p>
        <w:p>
          <w:pPr>
            <w:pStyle w:val="9"/>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"_Toc192872068"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4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系统组成</w:t>
          </w:r>
          <w:r>
            <w:rPr>
              <w:rFonts w:hint="default" w:ascii="Times New Roman" w:hAnsi="Times New Roman" w:eastAsia="宋体" w:cs="Times New Roman"/>
              <w:sz w:val="24"/>
              <w:szCs w:val="24"/>
            </w:rPr>
            <w:tab/>
          </w:r>
          <w:r>
            <w:rPr>
              <w:rFonts w:hint="eastAsia"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19</w:t>
          </w:r>
          <w:r>
            <w:rPr>
              <w:rFonts w:hint="eastAsia" w:cs="Times New Roman"/>
              <w:sz w:val="24"/>
              <w:szCs w:val="24"/>
              <w:lang w:eastAsia="zh-CN"/>
            </w:rPr>
            <w:t>）</w:t>
          </w:r>
        </w:p>
        <w:p>
          <w:pPr>
            <w:pStyle w:val="9"/>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"_Toc192872069"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5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系统功能</w:t>
          </w:r>
          <w:r>
            <w:rPr>
              <w:rFonts w:hint="default" w:ascii="Times New Roman" w:hAnsi="Times New Roman" w:eastAsia="宋体" w:cs="Times New Roman"/>
              <w:sz w:val="24"/>
              <w:szCs w:val="24"/>
            </w:rPr>
            <w:tab/>
          </w:r>
          <w:r>
            <w:rPr>
              <w:rFonts w:hint="eastAsia"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20</w:t>
          </w:r>
          <w:r>
            <w:rPr>
              <w:rFonts w:hint="eastAsia" w:cs="Times New Roman"/>
              <w:sz w:val="24"/>
              <w:szCs w:val="24"/>
              <w:lang w:eastAsia="zh-CN"/>
            </w:rPr>
            <w:t>）</w:t>
          </w:r>
        </w:p>
        <w:p>
          <w:pPr>
            <w:pStyle w:val="9"/>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"_Toc192872070"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6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系统设计</w:t>
          </w:r>
          <w:r>
            <w:rPr>
              <w:rFonts w:hint="default" w:ascii="Times New Roman" w:hAnsi="Times New Roman" w:eastAsia="宋体" w:cs="Times New Roman"/>
              <w:sz w:val="24"/>
              <w:szCs w:val="24"/>
            </w:rPr>
            <w:tab/>
          </w:r>
          <w:r>
            <w:rPr>
              <w:rFonts w:hint="eastAsia"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22</w:t>
          </w:r>
          <w:r>
            <w:rPr>
              <w:rFonts w:hint="eastAsia" w:cs="Times New Roman"/>
              <w:sz w:val="24"/>
              <w:szCs w:val="24"/>
              <w:lang w:eastAsia="zh-CN"/>
            </w:rPr>
            <w:t>）</w:t>
          </w:r>
        </w:p>
        <w:p>
          <w:pPr>
            <w:pStyle w:val="9"/>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"_Toc192872071"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7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安装验收</w:t>
          </w:r>
          <w:r>
            <w:rPr>
              <w:rFonts w:hint="default" w:ascii="Times New Roman" w:hAnsi="Times New Roman" w:eastAsia="宋体" w:cs="Times New Roman"/>
              <w:sz w:val="24"/>
              <w:szCs w:val="24"/>
            </w:rPr>
            <w:tab/>
          </w:r>
          <w:r>
            <w:rPr>
              <w:rFonts w:hint="eastAsia"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24</w:t>
          </w:r>
          <w:r>
            <w:rPr>
              <w:rFonts w:hint="eastAsia" w:cs="Times New Roman"/>
              <w:sz w:val="24"/>
              <w:szCs w:val="24"/>
              <w:lang w:eastAsia="zh-CN"/>
            </w:rPr>
            <w:t>）</w:t>
          </w:r>
        </w:p>
        <w:p>
          <w:pPr>
            <w:pStyle w:val="9"/>
            <w:tabs>
              <w:tab w:val="right" w:leader="dot" w:pos="8302"/>
            </w:tabs>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"_Toc192872072" </w:instrText>
          </w:r>
          <w:r>
            <w:rPr>
              <w:rFonts w:hint="default" w:ascii="Times New Roman" w:hAnsi="Times New Roman" w:eastAsia="宋体" w:cs="Times New Roman"/>
            </w:rPr>
            <w:fldChar w:fldCharType="separate"/>
          </w:r>
          <w:r>
            <w:rPr>
              <w:rStyle w:val="20"/>
              <w:rFonts w:hint="default" w:ascii="Times New Roman" w:hAnsi="Times New Roman" w:eastAsia="宋体" w:cs="Times New Roman"/>
              <w:sz w:val="24"/>
              <w:szCs w:val="24"/>
            </w:rPr>
            <w:t xml:space="preserve">8 </w:t>
          </w:r>
          <w:r>
            <w:rPr>
              <w:rStyle w:val="20"/>
              <w:rFonts w:hint="default" w:ascii="Times New Roman" w:hAnsi="Times New Roman" w:cs="Times New Roman"/>
              <w:sz w:val="24"/>
              <w:szCs w:val="24"/>
              <w:lang w:val="en-US" w:eastAsia="zh-CN"/>
            </w:rPr>
            <w:t xml:space="preserve"> </w:t>
          </w:r>
          <w:r>
            <w:rPr>
              <w:rStyle w:val="20"/>
              <w:rFonts w:hint="default" w:ascii="Times New Roman" w:hAnsi="Times New Roman" w:eastAsia="宋体" w:cs="Times New Roman"/>
              <w:sz w:val="24"/>
              <w:szCs w:val="24"/>
            </w:rPr>
            <w:t>运行维护</w:t>
          </w:r>
          <w:r>
            <w:rPr>
              <w:rFonts w:hint="default" w:ascii="Times New Roman" w:hAnsi="Times New Roman" w:eastAsia="宋体" w:cs="Times New Roman"/>
              <w:sz w:val="24"/>
              <w:szCs w:val="24"/>
            </w:rPr>
            <w:tab/>
          </w:r>
          <w:r>
            <w:rPr>
              <w:rFonts w:hint="eastAsia" w:cs="Times New Roman"/>
              <w:sz w:val="24"/>
              <w:szCs w:val="24"/>
              <w:lang w:val="en-US" w:eastAsia="zh-CN"/>
            </w:rPr>
            <w:t>（</w:t>
          </w:r>
          <w:r>
            <w:rPr>
              <w:rFonts w:hint="default" w:ascii="Times New Roman" w:hAnsi="Times New Roman" w:eastAsia="宋体" w:cs="Times New Roman"/>
              <w:sz w:val="24"/>
              <w:szCs w:val="24"/>
            </w:rPr>
            <w:fldChar w:fldCharType="end"/>
          </w:r>
          <w:r>
            <w:rPr>
              <w:rFonts w:hint="eastAsia" w:cs="Times New Roman"/>
              <w:sz w:val="24"/>
              <w:szCs w:val="24"/>
              <w:lang w:val="en-US" w:eastAsia="zh-CN"/>
            </w:rPr>
            <w:t>25</w:t>
          </w:r>
          <w:r>
            <w:rPr>
              <w:rFonts w:hint="eastAsia" w:cs="Times New Roman"/>
              <w:sz w:val="24"/>
              <w:szCs w:val="24"/>
              <w:lang w:eastAsia="zh-CN"/>
            </w:rPr>
            <w:t>）</w:t>
          </w:r>
        </w:p>
        <w:p>
          <w:pPr>
            <w:adjustRightInd w:val="0"/>
            <w:snapToGrid w:val="0"/>
            <w:spacing w:line="360" w:lineRule="auto"/>
            <w:jc w:val="center"/>
            <w:rPr>
              <w:rFonts w:hint="eastAsia" w:ascii="黑体" w:hAnsi="黑体" w:eastAsia="黑体"/>
              <w:sz w:val="24"/>
              <w:szCs w:val="24"/>
            </w:rPr>
          </w:pPr>
          <w:r>
            <w:rPr>
              <w:rFonts w:hint="default" w:ascii="Times New Roman" w:hAnsi="Times New Roman" w:cs="Times New Roman"/>
              <w:b/>
              <w:bCs/>
              <w:sz w:val="24"/>
              <w:szCs w:val="24"/>
              <w:lang w:val="zh-CN"/>
            </w:rPr>
            <w:fldChar w:fldCharType="end"/>
          </w:r>
        </w:p>
      </w:sdtContent>
    </w:sdt>
    <w:p>
      <w:pPr>
        <w:adjustRightInd w:val="0"/>
        <w:snapToGrid w:val="0"/>
        <w:spacing w:line="312" w:lineRule="auto"/>
        <w:jc w:val="center"/>
        <w:rPr>
          <w:rFonts w:hint="eastAsia" w:ascii="黑体" w:hAnsi="黑体" w:eastAsia="黑体"/>
          <w:sz w:val="24"/>
          <w:szCs w:val="24"/>
        </w:rPr>
        <w:sectPr>
          <w:footerReference r:id="rId8" w:type="default"/>
          <w:pgSz w:w="11906" w:h="16838"/>
          <w:pgMar w:top="1440" w:right="1797" w:bottom="1440" w:left="1797" w:header="851" w:footer="584" w:gutter="0"/>
          <w:pgNumType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73" w:name="_Toc192872065"/>
      <w:bookmarkStart w:id="74" w:name="_Toc192871569"/>
      <w:bookmarkStart w:id="75" w:name="_Toc89867490"/>
      <w:bookmarkStart w:id="76" w:name="_Toc187406472"/>
      <w:bookmarkStart w:id="77" w:name="_Toc192871661"/>
      <w:bookmarkStart w:id="78" w:name="_Toc89867182"/>
      <w:bookmarkStart w:id="79" w:name="_Toc89867081"/>
      <w:r>
        <w:rPr>
          <w:rFonts w:hint="eastAsia" w:ascii="Times New Roman" w:hAnsi="Times New Roman" w:eastAsia="宋体" w:cs="Times New Roman"/>
          <w:b/>
          <w:bCs/>
          <w:color w:val="000000" w:themeColor="text1"/>
          <w:sz w:val="30"/>
          <w:szCs w:val="30"/>
          <w14:textFill>
            <w14:solidFill>
              <w14:schemeClr w14:val="tx1"/>
            </w14:solidFill>
          </w14:textFill>
        </w:rPr>
        <w:t xml:space="preserve">1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总  则</w:t>
      </w:r>
      <w:bookmarkEnd w:id="73"/>
      <w:bookmarkEnd w:id="74"/>
      <w:bookmarkEnd w:id="75"/>
      <w:bookmarkEnd w:id="76"/>
      <w:bookmarkEnd w:id="77"/>
      <w:bookmarkEnd w:id="78"/>
      <w:bookmarkEnd w:id="79"/>
    </w:p>
    <w:p>
      <w:pPr>
        <w:adjustRightInd w:val="0"/>
        <w:snapToGrid w:val="0"/>
        <w:spacing w:line="360" w:lineRule="auto"/>
        <w:jc w:val="left"/>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1.0.1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石油和化工企业生产环境复杂，大量易燃易爆物质的储存与使用，使得雷电成为重大安全隐患。雷击可能引发火灾、爆炸等严重事故，造成设备损坏、人员伤亡以及巨大经济损失。制定本规范旨在统一雷电预警系统设计标准，确保系统设计遵循安全可靠原则，准确预警雷电风险，有效降低雷击事故发生率。</w:t>
      </w:r>
    </w:p>
    <w:p>
      <w:pPr>
        <w:adjustRightInd w:val="0"/>
        <w:snapToGrid w:val="0"/>
        <w:spacing w:line="360" w:lineRule="auto"/>
        <w:jc w:val="left"/>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1.0.2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本规范全面规范雷电预警系统的设计、安装、验收、运行与维护，本规范规定的系统技术要求普遍适用于新建、改建和扩建项目。</w:t>
      </w:r>
    </w:p>
    <w:p>
      <w:pPr>
        <w:adjustRightInd w:val="0"/>
        <w:snapToGrid w:val="0"/>
        <w:spacing w:line="360" w:lineRule="auto"/>
        <w:jc w:val="left"/>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1.0.3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石油和化工企业雷电预警系统以满足现行国家级行业有关标准为前提，参照本标准设计，当条文发生冲突时，按要求高的条款执行。</w:t>
      </w:r>
    </w:p>
    <w:p>
      <w:pPr>
        <w:adjustRightInd w:val="0"/>
        <w:snapToGrid w:val="0"/>
        <w:spacing w:line="360" w:lineRule="auto"/>
        <w:jc w:val="center"/>
        <w:rPr>
          <w:rFonts w:hint="eastAsia" w:ascii="黑体" w:hAnsi="黑体" w:eastAsia="黑体"/>
          <w:sz w:val="24"/>
          <w:szCs w:val="24"/>
        </w:rPr>
      </w:pPr>
      <w:r>
        <w:rPr>
          <w:rFonts w:ascii="黑体" w:hAnsi="黑体" w:eastAsia="黑体"/>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80" w:name="_Toc192871662"/>
      <w:bookmarkStart w:id="81" w:name="_Toc89867082"/>
      <w:bookmarkStart w:id="82" w:name="_Toc192871570"/>
      <w:bookmarkStart w:id="83" w:name="_Toc89867183"/>
      <w:bookmarkStart w:id="84" w:name="_Toc187406473"/>
      <w:bookmarkStart w:id="85" w:name="_Toc192872066"/>
      <w:bookmarkStart w:id="86" w:name="_Toc89867491"/>
      <w:r>
        <w:rPr>
          <w:rFonts w:hint="eastAsia" w:ascii="Times New Roman" w:hAnsi="Times New Roman" w:eastAsia="宋体" w:cs="Times New Roman"/>
          <w:b/>
          <w:bCs/>
          <w:color w:val="000000" w:themeColor="text1"/>
          <w:sz w:val="30"/>
          <w:szCs w:val="30"/>
          <w14:textFill>
            <w14:solidFill>
              <w14:schemeClr w14:val="tx1"/>
            </w14:solidFill>
          </w14:textFill>
        </w:rPr>
        <w:t xml:space="preserve">2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术  语</w:t>
      </w:r>
      <w:bookmarkEnd w:id="80"/>
      <w:bookmarkEnd w:id="81"/>
      <w:bookmarkEnd w:id="82"/>
      <w:bookmarkEnd w:id="83"/>
      <w:bookmarkEnd w:id="84"/>
      <w:bookmarkEnd w:id="85"/>
      <w:bookmarkEnd w:id="86"/>
    </w:p>
    <w:p>
      <w:pPr>
        <w:spacing w:line="360" w:lineRule="auto"/>
        <w:rPr>
          <w:rFonts w:ascii="黑体" w:eastAsia="黑体"/>
          <w:sz w:val="24"/>
          <w:szCs w:val="24"/>
        </w:rPr>
      </w:pPr>
      <w:r>
        <w:rPr>
          <w:rFonts w:hint="eastAsia" w:ascii="Times New Roman" w:hAnsi="Times New Roman" w:eastAsia="宋体" w:cs="Times New Roman"/>
          <w:b/>
          <w:bCs/>
          <w:kern w:val="2"/>
          <w:sz w:val="24"/>
          <w:szCs w:val="24"/>
          <w:lang w:val="en-US" w:eastAsia="zh-CN" w:bidi="ar-SA"/>
        </w:rPr>
        <w:t>2.0.1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石油和化工企业生产区域广泛，涵盖炼油厂、化工厂、油气储存库等，雷暴活动对其安全生产威胁巨大。雷电预警系统通过部署各类探测设备，监测目标区域内雷暴活动迹象，基于采集到的实时数据，运用算法模型，对区域未来时段雷电发生情况进行预测分析，提前发出预警信号，为企业启动防雷应急预案、提前采取防护措施争取时间，有效避免雷击引发火灾、爆炸等重大安全事故，保障企业人员生命与财产安全。</w:t>
      </w:r>
    </w:p>
    <w:p>
      <w:pPr>
        <w:adjustRightInd w:val="0"/>
        <w:snapToGrid w:val="0"/>
        <w:spacing w:line="360" w:lineRule="auto"/>
        <w:jc w:val="center"/>
        <w:rPr>
          <w:rFonts w:hint="eastAsia" w:ascii="黑体" w:hAnsi="黑体" w:eastAsia="黑体"/>
          <w:sz w:val="24"/>
          <w:szCs w:val="24"/>
        </w:rPr>
      </w:pPr>
      <w:r>
        <w:rPr>
          <w:rFonts w:ascii="黑体" w:hAnsi="黑体" w:eastAsia="黑体"/>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87" w:name="_Toc89867492"/>
      <w:bookmarkStart w:id="88" w:name="_Toc89867083"/>
      <w:bookmarkStart w:id="89" w:name="_Toc192871663"/>
      <w:bookmarkStart w:id="90" w:name="_Toc89867184"/>
      <w:bookmarkStart w:id="91" w:name="_Toc187406474"/>
      <w:bookmarkStart w:id="92" w:name="_Toc192872067"/>
      <w:bookmarkStart w:id="93" w:name="_Toc192871571"/>
      <w:r>
        <w:rPr>
          <w:rFonts w:hint="eastAsia" w:ascii="Times New Roman" w:hAnsi="Times New Roman" w:eastAsia="宋体" w:cs="Times New Roman"/>
          <w:b/>
          <w:bCs/>
          <w:color w:val="000000" w:themeColor="text1"/>
          <w:sz w:val="30"/>
          <w:szCs w:val="30"/>
          <w14:textFill>
            <w14:solidFill>
              <w14:schemeClr w14:val="tx1"/>
            </w14:solidFill>
          </w14:textFill>
        </w:rPr>
        <w:t xml:space="preserve">3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基本规定</w:t>
      </w:r>
      <w:bookmarkEnd w:id="87"/>
      <w:bookmarkEnd w:id="88"/>
      <w:bookmarkEnd w:id="89"/>
      <w:bookmarkEnd w:id="90"/>
      <w:bookmarkEnd w:id="91"/>
      <w:bookmarkEnd w:id="92"/>
      <w:bookmarkEnd w:id="93"/>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石油和化工企业生产环境具有易燃易爆、高温高压等特点，雷电活动极易引发火灾、爆炸等灾难性事故。通过部署大气电场仪、等探测设备，实时采集企业所在区域的大气电场强度、闪电发生位置、时间、电流强度等雷电相关信息，利用数据分析算法和模型，对采集到的数据进行处理，实现对企业及邻近区域雷电活动的实时监测，提前感知雷电活动迹。同时，基于监测数据，对即将影响企业的雷电活动进行临近预警，为企业争取充足的应急响应时间，如提前疏散人员、停止危险作业、启动防雷设施等，最大程度降低雷电灾害带来的损失，保障企业安全生产和人员生命财产安全。</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预警解除信息则让企业及时了解雷电威胁是否消除，以便恢复正常生产秩序。</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3.0.3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石油和化工企业的雷电预警系统与上级平台实现数据交互，一方面，企业可获取更全面的区域雷电活动趋势和信息，结合自身监测数据，更准确地判断雷电对企业的影响，优化自身预警策略；另一方面，企业将自身监测数据上传至上级平台，有助于上级平台完善区域雷电灾害监测网络，实现数据共享和协同分析。</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3.0.4</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防雷接地一体化监测平台对石油和化工企业的防雷接地系统进行全面监测和管理，涵盖接地电阻、防雷装置运行状态等关键信息。雷电预警系统与防雷接地一体化监测平台实现数据交互，能够实现防雷安全管理的协同联动。当雷电预警系统发出预警时，可将预警信息同步传输至防雷接地一体化监测平台，平台根据预警情况，自动检查防雷接地系统的运行状态，判断防雷设施是否处于良好工作状态。反之，防雷接地一体化监测平台发现防雷设施故障时，也可将信息反馈给雷电预警系统，在预警时重点关注该区域的雷电风险，提醒企业加强防范，形成全方位、闭环式的防雷安全管理体系。</w:t>
      </w:r>
    </w:p>
    <w:p>
      <w:pPr>
        <w:adjustRightInd w:val="0"/>
        <w:snapToGrid w:val="0"/>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3.0.5</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石油和化工企业内电磁环境复杂，如电机运行、变频器工作、高频设备使用等，会产生强烈的电磁干扰。因此，要求系统具备抗干扰能力，通过采用屏蔽技术、滤波电路、隔离措施等手段，抑制外界电磁干扰，确保监测数据的准确性和可靠性。</w:t>
      </w:r>
    </w:p>
    <w:p>
      <w:pPr>
        <w:adjustRightInd w:val="0"/>
        <w:snapToGrid w:val="0"/>
        <w:spacing w:line="360" w:lineRule="auto"/>
        <w:rPr>
          <w:rFonts w:hint="eastAsia" w:ascii="宋体" w:hAnsi="宋体"/>
          <w:sz w:val="24"/>
          <w:szCs w:val="24"/>
        </w:rPr>
      </w:pPr>
      <w:r>
        <w:rPr>
          <w:rFonts w:hint="eastAsia" w:ascii="Times New Roman" w:hAnsi="Times New Roman" w:eastAsia="宋体" w:cs="Times New Roman"/>
          <w:b/>
          <w:bCs/>
          <w:kern w:val="2"/>
          <w:sz w:val="24"/>
          <w:szCs w:val="24"/>
          <w:lang w:val="en-US" w:eastAsia="zh-CN" w:bidi="ar-SA"/>
        </w:rPr>
        <w:t>3.0.6</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雷电预警系统的主要功能是提前监测和预警雷电活动，为企业采取防范措施争取时间，它本身不具备直接抵御雷电的能力。雷电保护装置，如避雷针、避雷带、浪涌保护器等，通过物理或电气手段，将雷电电流安全引入大地，防止雷电对建筑物、设备和人员造成直接伤害。两者在企业防雷体系中发挥着不同的作用，缺一不可。</w:t>
      </w:r>
    </w:p>
    <w:p>
      <w:pPr>
        <w:adjustRightInd w:val="0"/>
        <w:snapToGrid w:val="0"/>
        <w:spacing w:line="360" w:lineRule="auto"/>
        <w:rPr>
          <w:rFonts w:hint="eastAsia" w:ascii="黑体" w:hAnsi="黑体" w:eastAsia="黑体"/>
          <w:sz w:val="24"/>
          <w:szCs w:val="24"/>
        </w:rPr>
      </w:pPr>
      <w:r>
        <w:rPr>
          <w:rFonts w:ascii="黑体" w:hAnsi="黑体" w:eastAsia="黑体"/>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94" w:name="_Toc89867084"/>
      <w:bookmarkStart w:id="95" w:name="_Toc89867493"/>
      <w:bookmarkStart w:id="96" w:name="_Toc187406475"/>
      <w:bookmarkStart w:id="97" w:name="_Toc89867185"/>
      <w:bookmarkStart w:id="98" w:name="_Toc192871572"/>
      <w:bookmarkStart w:id="99" w:name="_Toc192872068"/>
      <w:bookmarkStart w:id="100" w:name="_Toc192871664"/>
      <w:r>
        <w:rPr>
          <w:rFonts w:hint="eastAsia" w:ascii="Times New Roman" w:hAnsi="Times New Roman" w:eastAsia="宋体" w:cs="Times New Roman"/>
          <w:b/>
          <w:bCs/>
          <w:color w:val="000000" w:themeColor="text1"/>
          <w:sz w:val="30"/>
          <w:szCs w:val="30"/>
          <w14:textFill>
            <w14:solidFill>
              <w14:schemeClr w14:val="tx1"/>
            </w14:solidFill>
          </w14:textFill>
        </w:rPr>
        <w:t xml:space="preserve">4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w:t>
      </w:r>
      <w:bookmarkEnd w:id="94"/>
      <w:bookmarkEnd w:id="95"/>
      <w:bookmarkEnd w:id="96"/>
      <w:bookmarkEnd w:id="97"/>
      <w:r>
        <w:rPr>
          <w:rFonts w:hint="eastAsia" w:ascii="Times New Roman" w:hAnsi="Times New Roman" w:eastAsia="宋体" w:cs="Times New Roman"/>
          <w:b/>
          <w:bCs/>
          <w:color w:val="000000" w:themeColor="text1"/>
          <w:sz w:val="30"/>
          <w:szCs w:val="30"/>
          <w14:textFill>
            <w14:solidFill>
              <w14:schemeClr w14:val="tx1"/>
            </w14:solidFill>
          </w14:textFill>
        </w:rPr>
        <w:t>组成</w:t>
      </w:r>
      <w:bookmarkEnd w:id="98"/>
      <w:bookmarkEnd w:id="99"/>
      <w:bookmarkEnd w:id="100"/>
    </w:p>
    <w:p>
      <w:pPr>
        <w:adjustRightInd w:val="0"/>
        <w:snapToGrid w:val="0"/>
        <w:spacing w:line="360" w:lineRule="auto"/>
        <w:ind w:firstLine="480" w:firstLineChars="200"/>
        <w:rPr>
          <w:rFonts w:hint="eastAsia" w:ascii="黑体" w:hAnsi="黑体" w:eastAsia="黑体"/>
          <w:bCs/>
          <w:sz w:val="24"/>
          <w:szCs w:val="24"/>
          <w:highlight w:val="none"/>
        </w:rPr>
      </w:pPr>
      <w:r>
        <w:rPr>
          <w:rFonts w:hint="eastAsia" w:ascii="宋体" w:hAnsi="宋体"/>
          <w:bCs/>
          <w:sz w:val="24"/>
          <w:szCs w:val="24"/>
          <w:highlight w:val="none"/>
        </w:rPr>
        <w:t>本章参考中华人民共和国应急管理部文件：关于印发《大型油气储存基地雷电预警系统基本要求(试行)》《油气储存企业紧急切断系统基本要求(试行)》的通知。</w:t>
      </w:r>
    </w:p>
    <w:p>
      <w:pPr>
        <w:adjustRightInd w:val="0"/>
        <w:snapToGrid w:val="0"/>
        <w:spacing w:line="360" w:lineRule="auto"/>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4.0.1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雷电探测模块作为系统前端感知单元，用于收集各类与雷电相关的实时数据。数据处理模块对接收到的数据进行处理、分析与计算，提炼出雷电活动的关键特征与趋势，生成精准的预警信息。应用终端将处理后的预警信息以直观、便捷的方式呈现给用户，实现信息的有效传达与交互。</w:t>
      </w:r>
    </w:p>
    <w:p>
      <w:pPr>
        <w:adjustRightInd w:val="0"/>
        <w:snapToGrid w:val="0"/>
        <w:spacing w:line="360" w:lineRule="auto"/>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4.0.2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大气电场仪能实时测量大气电场强度与极性变化，对本地雷电监测灵敏度高。闪电定位系统借助电磁波传播特性，通过多个探测站点协同工作，能精确测定闪电发生的位置、时间、电流强度等参数，可对较大区域闪电活动进行宏观监测。多普勒雷达通过发射和接收电磁波，探测雷暴云团的结构、移动速度与方向等信息，有助于预测雷电发展趋势。卫星信号接收器可接收卫星遥感数据，获取更广阔区域的云图、气象信息，辅助判断雷电活动可能性。在石油和化工企业实际应用中，根据企业规模、地理环境及雷电活动特点，灵活选用一种或多种探测方式组合。常规使用的是大气电场仪。</w:t>
      </w:r>
    </w:p>
    <w:p>
      <w:pPr>
        <w:adjustRightInd w:val="0"/>
        <w:snapToGrid w:val="0"/>
        <w:spacing w:line="360" w:lineRule="auto"/>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4.0.3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硬件方面，需满足数据运算分析和存储的需要，并具备稳定可靠性。软件方面，需兼容不同探测设备数据格式，准确接收数据；正确运用算法模型挖掘分析，生成可靠预警信息；将处理后的预警信息准确推送至应用终端。</w:t>
      </w:r>
    </w:p>
    <w:p>
      <w:pPr>
        <w:adjustRightInd w:val="0"/>
        <w:snapToGrid w:val="0"/>
        <w:spacing w:line="360" w:lineRule="auto"/>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4.0.4</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电脑端通常用于企业监控中心、调度室等固定场所，配备大尺寸显示屏，可展示详细、全面的雷电预警信息，如以电子地图形式清晰呈现预警区域、雷电移动轨迹，用图表展示雷电强度变化趋势等，方便管理人员全面掌握雷电动态，进行综合决策。移动端（如手机、平板电脑）则为企业现场作业人员、外出管理人员提供便捷预警服务，及时了解所在区域雷电风险，以便迅速采取防护措施。数据接口服务则用于与企业其他信息系统对接，实现数据共享与协同联动。</w:t>
      </w:r>
    </w:p>
    <w:p>
      <w:pPr>
        <w:adjustRightInd w:val="0"/>
        <w:snapToGrid w:val="0"/>
        <w:spacing w:line="360" w:lineRule="auto"/>
        <w:rPr>
          <w:rFonts w:hint="eastAsia" w:ascii="宋体" w:hAnsi="宋体"/>
          <w:bCs/>
          <w:sz w:val="24"/>
          <w:szCs w:val="24"/>
        </w:rPr>
      </w:pPr>
      <w:r>
        <w:rPr>
          <w:rFonts w:ascii="宋体" w:hAnsi="宋体"/>
          <w:bCs/>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01" w:name="_Toc192872069"/>
      <w:bookmarkStart w:id="102" w:name="_Toc192871573"/>
      <w:bookmarkStart w:id="103" w:name="_Toc192871665"/>
      <w:r>
        <w:rPr>
          <w:rFonts w:hint="eastAsia" w:ascii="Times New Roman" w:hAnsi="Times New Roman" w:eastAsia="宋体" w:cs="Times New Roman"/>
          <w:b/>
          <w:bCs/>
          <w:color w:val="000000" w:themeColor="text1"/>
          <w:sz w:val="30"/>
          <w:szCs w:val="30"/>
          <w14:textFill>
            <w14:solidFill>
              <w14:schemeClr w14:val="tx1"/>
            </w14:solidFill>
          </w14:textFill>
        </w:rPr>
        <w:t xml:space="preserve">5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系统功能</w:t>
      </w:r>
      <w:bookmarkEnd w:id="101"/>
      <w:bookmarkEnd w:id="102"/>
      <w:bookmarkEnd w:id="103"/>
    </w:p>
    <w:p>
      <w:pPr>
        <w:adjustRightInd w:val="0"/>
        <w:snapToGrid w:val="0"/>
        <w:spacing w:line="360" w:lineRule="auto"/>
        <w:jc w:val="left"/>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5.0.1-5.0.3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lang w:val="en-US" w:eastAsia="zh-CN"/>
        </w:rPr>
        <w:t>本规范中此3条</w:t>
      </w:r>
      <w:r>
        <w:rPr>
          <w:rFonts w:hint="eastAsia" w:ascii="宋体" w:hAnsi="宋体"/>
          <w:bCs/>
          <w:sz w:val="24"/>
          <w:szCs w:val="24"/>
        </w:rPr>
        <w:t>规定了雷电预警系统的基本功能要求。</w:t>
      </w:r>
    </w:p>
    <w:p>
      <w:pPr>
        <w:adjustRightInd w:val="0"/>
        <w:snapToGrid w:val="0"/>
        <w:spacing w:line="360" w:lineRule="auto"/>
        <w:ind w:firstLine="480" w:firstLineChars="200"/>
        <w:jc w:val="left"/>
        <w:rPr>
          <w:rFonts w:hint="eastAsia" w:ascii="宋体" w:hAnsi="宋体"/>
          <w:bCs/>
          <w:sz w:val="24"/>
          <w:szCs w:val="24"/>
        </w:rPr>
      </w:pPr>
      <w:r>
        <w:rPr>
          <w:rFonts w:hint="eastAsia" w:ascii="宋体" w:hAnsi="宋体"/>
          <w:bCs/>
          <w:sz w:val="24"/>
          <w:szCs w:val="24"/>
        </w:rPr>
        <w:t>雷电活动情况和雷电特征参数的实时监测通过探测设备完成，获取进一步分析的关键数据；显示功能则将这些监测数据直观呈现给用户，如在电子地图上标注雷电位置、以动态曲线展示大气电场强度变化，方便企业人员及时掌握雷电动态。记录功能将监测数据按时间序列存储，形成完整的历史数据档案，便于后续事故分析、系统优化以及研究雷电活动规律。</w:t>
      </w:r>
    </w:p>
    <w:p>
      <w:pPr>
        <w:adjustRightInd w:val="0"/>
        <w:snapToGrid w:val="0"/>
        <w:spacing w:line="360" w:lineRule="auto"/>
        <w:ind w:firstLine="480" w:firstLineChars="200"/>
        <w:jc w:val="left"/>
        <w:rPr>
          <w:rFonts w:hint="eastAsia" w:ascii="宋体" w:hAnsi="宋体"/>
          <w:bCs/>
          <w:sz w:val="24"/>
          <w:szCs w:val="24"/>
        </w:rPr>
      </w:pPr>
      <w:r>
        <w:rPr>
          <w:rFonts w:hint="eastAsia" w:ascii="宋体" w:hAnsi="宋体"/>
          <w:bCs/>
          <w:sz w:val="24"/>
          <w:szCs w:val="24"/>
        </w:rPr>
        <w:t>基于上述监测数据，系统能够完成雷电临近预警，清晰、醒目地显示预警信息，如预警级别、到达时间、影响区域等，并记录预警信息存档。声光报警装置是可选项，可根据需要进行配置。</w:t>
      </w:r>
    </w:p>
    <w:p>
      <w:pPr>
        <w:adjustRightInd w:val="0"/>
        <w:snapToGrid w:val="0"/>
        <w:spacing w:line="360" w:lineRule="auto"/>
        <w:ind w:firstLine="480" w:firstLineChars="200"/>
        <w:jc w:val="left"/>
        <w:rPr>
          <w:rFonts w:hint="eastAsia" w:ascii="宋体" w:hAnsi="宋体"/>
          <w:bCs/>
          <w:sz w:val="24"/>
          <w:szCs w:val="24"/>
        </w:rPr>
      </w:pPr>
      <w:r>
        <w:rPr>
          <w:rFonts w:hint="eastAsia" w:ascii="宋体" w:hAnsi="宋体"/>
          <w:bCs/>
          <w:sz w:val="24"/>
          <w:szCs w:val="24"/>
        </w:rPr>
        <w:t>历史监测数据查询、导出、格式转换和统计分析功能，有助于企业深入挖掘雷电数据价值。其中统计分析功能运用数据统计方法和算法，对历史数据进行分析，如计算雷电发生频率、强度分布、持续时间等统计指标，生成统计报表和趋势图表。通过这些分析，企业可以评估雷电预警系统的性能，优化预警算法；还能总结雷电活动规律，为防雷设施的规划、维护以及生产调度安排提供数据支持。</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5.0.4</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气象环境参数与雷电活动密切相关，监测气象数据可提升预警的准确性和可靠性。</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5.0.5</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在系统安装调试或投入使用前，需要对各种工作参数进行初始化配置，如探测设备的通信参数、数据采集频率、预警算法的初始设置等。保存功能将配置好的参数存储在系统中，即使系统重启或出现故障，也能快速恢复到正确的工作状态，避免因参数丢失导致系统运行异常。</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5.0.6</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雷电预警系统具有预警阈值等工作参数的设置和调整能力，可针对应用场景进行设置，增强系统的适应性和灵活性。例如，在雷电高发季节或企业开展高危生产作业期间，可适当降低预警阈值，提高预警的灵敏度；而在雷电活动较少的时期，可适当提高阈值，减少不必要的预警干扰。</w:t>
      </w:r>
    </w:p>
    <w:p>
      <w:pPr>
        <w:adjustRightInd w:val="0"/>
        <w:snapToGrid w:val="0"/>
        <w:spacing w:line="360" w:lineRule="auto"/>
        <w:jc w:val="left"/>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5.0.7</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雷电分级预警根据雷电的强度、影响范围和发生概率等因素，将雷电风险划分为不同级别，不同级别对应不同的应急响应措施，便于企业快速制定和执行相应的防范策略。设置雷电预警时间功能允许系统根据历史数据和实时监测情况，提前设定预警发出的时间点。设置预警区域功能可界定雷电可能影响的范围。预警解除功能是在雷电威胁消除后，及时通知企业恢复正常生产秩序，避免过度防护带来的资源浪费。</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5.0.8</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不同预警级别代表雷电活动的危险性，针对不同的危险程度采取不同的应急措施。一般一级预警需提醒值班人员加强设备巡检和监测；二级预警需暂停部分非关键生产作业，检查防雷设施状态；三级预警需立即停止所有危险作业，疏散人员到安全区域。分级预警模式有助于企业合理调配资源，在保障安全的前提下，尽量减少对生产的影响，实现风险防控与生产效益的平衡。</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5.0.9</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确保系统时钟的准确性和一致性能够消除因时钟偏差导致的数据误差和预警错误，提高雷电预警的精度和可靠性。</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5.0.10</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雷电预警系统具备第三方接口，可与其它平台通信，实现数据共享和系统协同。例如，与安全生产管理系统对接后，当雷电预警系统发出预警时，安全生产管理系统可自动触发相关区域的设备断电、人员疏散等应急预案；与接地电阻在线监测系统通信，可结合接地系统状态评估雷电风险，为防雷决策提供更全面的数据支持。同时，雷电预警系统也可以从其他平台获取相关信息，如气象数据、设备运行状态等，进一步完善自身的监测和预警功能，提升企业整体安全管理水平，形成多系统协同联动的安全防护体系。</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5.0.11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尽管本规范所规定的主体是雷电预警系统，但出于对石油和化工企业能够有效地运用本系统，能够与管理大平台一同更好地进行防雷接地监测，本条给出了防雷接地一体化监测平台的基本功能要求。一体化监测平台需支持多种数据和设备接入，能够</w:t>
      </w:r>
      <w:r>
        <w:rPr>
          <w:rFonts w:hint="eastAsia" w:ascii="宋体" w:hAnsi="宋体"/>
          <w:color w:val="000000" w:themeColor="text1"/>
          <w:sz w:val="24"/>
          <w:szCs w:val="24"/>
          <w14:textFill>
            <w14:solidFill>
              <w14:schemeClr w14:val="tx1"/>
            </w14:solidFill>
          </w14:textFill>
        </w:rPr>
        <w:t>整合分析多源数据，能更全面、宏观地掌握企业防雷接地系统运行状况，实现对防雷接地系统的集中调度与优化管理，提升企业整体防雷接地安全管理水平。</w:t>
      </w:r>
    </w:p>
    <w:p>
      <w:pPr>
        <w:widowControl/>
        <w:jc w:val="left"/>
        <w:rPr>
          <w:rFonts w:hint="eastAsia" w:ascii="黑体" w:hAnsi="黑体" w:eastAsia="黑体"/>
          <w:bCs/>
          <w:sz w:val="24"/>
          <w:szCs w:val="24"/>
        </w:rPr>
      </w:pPr>
      <w:r>
        <w:rPr>
          <w:rFonts w:ascii="黑体" w:hAnsi="黑体" w:eastAsia="黑体"/>
          <w:bCs/>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04" w:name="_Toc192872070"/>
      <w:bookmarkStart w:id="105" w:name="_Toc192871574"/>
      <w:bookmarkStart w:id="106" w:name="_Toc192871666"/>
      <w:r>
        <w:rPr>
          <w:rFonts w:hint="eastAsia" w:ascii="Times New Roman" w:hAnsi="Times New Roman" w:eastAsia="宋体" w:cs="Times New Roman"/>
          <w:b/>
          <w:bCs/>
          <w:color w:val="000000" w:themeColor="text1"/>
          <w:sz w:val="30"/>
          <w:szCs w:val="30"/>
          <w14:textFill>
            <w14:solidFill>
              <w14:schemeClr w14:val="tx1"/>
            </w14:solidFill>
          </w14:textFill>
        </w:rPr>
        <w:t xml:space="preserve">6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系统设计</w:t>
      </w:r>
      <w:bookmarkEnd w:id="104"/>
      <w:bookmarkEnd w:id="105"/>
      <w:bookmarkEnd w:id="106"/>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6.0.1-6.0.4</w:t>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lang w:val="en-US" w:eastAsia="zh-CN"/>
          <w14:textFill>
            <w14:solidFill>
              <w14:schemeClr w14:val="tx1"/>
            </w14:solidFill>
          </w14:textFill>
        </w:rPr>
        <w:t xml:space="preserve"> 现行国家标准</w:t>
      </w:r>
      <w:r>
        <w:rPr>
          <w:rFonts w:hint="eastAsia" w:ascii="宋体" w:hAnsi="宋体"/>
          <w:color w:val="000000" w:themeColor="text1"/>
          <w:sz w:val="24"/>
          <w:szCs w:val="24"/>
          <w14:textFill>
            <w14:solidFill>
              <w14:schemeClr w14:val="tx1"/>
            </w14:solidFill>
          </w14:textFill>
        </w:rPr>
        <w:t>《危险化学品重大危险源安全监控技术规范》</w:t>
      </w:r>
      <w:r>
        <w:rPr>
          <w:rFonts w:hint="default" w:ascii="Times New Roman" w:hAnsi="Times New Roman" w:cs="Times New Roman"/>
          <w:color w:val="000000" w:themeColor="text1"/>
          <w:sz w:val="24"/>
          <w:szCs w:val="24"/>
          <w14:textFill>
            <w14:solidFill>
              <w14:schemeClr w14:val="tx1"/>
            </w14:solidFill>
          </w14:textFill>
        </w:rPr>
        <w:t>GB 17681</w:t>
      </w:r>
      <w:r>
        <w:rPr>
          <w:rFonts w:hint="eastAsia" w:ascii="宋体" w:hAnsi="宋体"/>
          <w:color w:val="000000" w:themeColor="text1"/>
          <w:sz w:val="24"/>
          <w:szCs w:val="24"/>
          <w14:textFill>
            <w14:solidFill>
              <w14:schemeClr w14:val="tx1"/>
            </w14:solidFill>
          </w14:textFill>
        </w:rPr>
        <w:t>规定“大型油气储存企业、地属多雷区或强雷区的二级以上石油库应设置雷电预警系统”。本条是结合该条规定而制定的，相比该条规定提出了更为严格的要求。将大型的企业（</w:t>
      </w:r>
      <w:r>
        <w:rPr>
          <w:rFonts w:hint="eastAsia" w:ascii="宋体" w:hAnsi="宋体"/>
          <w:sz w:val="24"/>
          <w:szCs w:val="24"/>
        </w:rPr>
        <w:t>石油化工企业、大型油气储存企业、大型危险化学品制造和储存企业</w:t>
      </w:r>
      <w:r>
        <w:rPr>
          <w:rFonts w:hint="eastAsia" w:ascii="宋体" w:hAnsi="宋体"/>
          <w:color w:val="000000" w:themeColor="text1"/>
          <w:sz w:val="24"/>
          <w:szCs w:val="24"/>
          <w14:textFill>
            <w14:solidFill>
              <w14:schemeClr w14:val="tx1"/>
            </w14:solidFill>
          </w14:textFill>
        </w:rPr>
        <w:t>）、处于强雷区或多雷区的户外作业单位、</w:t>
      </w:r>
      <w:r>
        <w:rPr>
          <w:rFonts w:hint="eastAsia" w:ascii="宋体" w:hAnsi="宋体"/>
          <w:sz w:val="24"/>
          <w:szCs w:val="24"/>
        </w:rPr>
        <w:t>油气钻井、集输站场、储罐、油库、炼化企业、险化学品制造和储存企业</w:t>
      </w:r>
      <w:r>
        <w:rPr>
          <w:rFonts w:hint="eastAsia" w:ascii="宋体" w:hAnsi="宋体"/>
          <w:color w:val="000000" w:themeColor="text1"/>
          <w:sz w:val="24"/>
          <w:szCs w:val="24"/>
          <w14:textFill>
            <w14:solidFill>
              <w14:schemeClr w14:val="tx1"/>
            </w14:solidFill>
          </w14:textFill>
        </w:rPr>
        <w:t>均列为应安装雷电预警系统的地区；将处于中雷区的</w:t>
      </w:r>
      <w:r>
        <w:rPr>
          <w:rFonts w:hint="eastAsia" w:ascii="宋体" w:hAnsi="宋体"/>
          <w:sz w:val="24"/>
          <w:szCs w:val="24"/>
        </w:rPr>
        <w:t>野外作业单位、油气钻井、集输站场、油库、炼化企业、险化学品制造和储存企业</w:t>
      </w:r>
      <w:r>
        <w:rPr>
          <w:rFonts w:hint="eastAsia" w:ascii="宋体" w:hAnsi="宋体"/>
          <w:color w:val="000000" w:themeColor="text1"/>
          <w:sz w:val="24"/>
          <w:szCs w:val="24"/>
          <w14:textFill>
            <w14:solidFill>
              <w14:schemeClr w14:val="tx1"/>
            </w14:solidFill>
          </w14:textFill>
        </w:rPr>
        <w:t>规定为宜安装雷电预警系统的地区。</w:t>
      </w:r>
    </w:p>
    <w:p>
      <w:pPr>
        <w:adjustRightInd w:val="0"/>
        <w:snapToGrid w:val="0"/>
        <w:spacing w:line="360" w:lineRule="auto"/>
        <w:jc w:val="left"/>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6.0.5</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石油和化工企业厂区面积大、功能区域复杂，不同区域的雷电风险程度、电磁环境以及对雷电预警的需求存在显著差异。例如，生产装置区设备密集、电气设施多，一旦遭受雷击，极易引发火灾、爆炸等严重事故，对雷电预警的及时性和准确性要求极高；办公区在同等雷电风险的情况下影响较小。因此，雷电预警系统设备需依据实际需求，结合经济性考虑，设置于厂区的相应位置。</w:t>
      </w:r>
      <w:r>
        <w:rPr>
          <w:bCs/>
          <w:sz w:val="24"/>
          <w:szCs w:val="24"/>
        </w:rPr>
        <w:t>​</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6.0.7</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需根据石油和化工企业所处地理位置、环境情况，对雷电预警系统设备提出相应的环境适应性要求，满足在可能面临的高温、低温、高湿、沙尘、暴雨、暴雪等各种恶劣天气下正常运行。</w:t>
      </w:r>
    </w:p>
    <w:p>
      <w:pPr>
        <w:adjustRightInd w:val="0"/>
        <w:snapToGrid w:val="0"/>
        <w:spacing w:line="360" w:lineRule="auto"/>
        <w:jc w:val="left"/>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6.0.9</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石油和化工企业部分区域，如野外作业站点、偏远厂区等，可能存在市电供应不稳定或难以接入市电的情况，此时可采用太阳能供电方式。</w:t>
      </w:r>
    </w:p>
    <w:p>
      <w:pPr>
        <w:adjustRightInd w:val="0"/>
        <w:snapToGrid w:val="0"/>
        <w:spacing w:line="360" w:lineRule="auto"/>
        <w:jc w:val="left"/>
        <w:rPr>
          <w:rFonts w:hint="eastAsia" w:ascii="宋体" w:hAnsi="宋体"/>
          <w:bCs/>
          <w:sz w:val="24"/>
          <w:szCs w:val="24"/>
        </w:rPr>
      </w:pPr>
      <w:r>
        <w:rPr>
          <w:rFonts w:hint="eastAsia" w:ascii="Times New Roman" w:hAnsi="Times New Roman" w:eastAsia="宋体" w:cs="Times New Roman"/>
          <w:b/>
          <w:bCs/>
          <w:kern w:val="2"/>
          <w:sz w:val="24"/>
          <w:szCs w:val="24"/>
          <w:lang w:val="en-US" w:eastAsia="zh-CN" w:bidi="ar-SA"/>
        </w:rPr>
        <w:t>6.0.10</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本规范是基于常规情况即雷电探测模块选用大气电场仪的情况提出的要求。</w:t>
      </w:r>
    </w:p>
    <w:p>
      <w:pPr>
        <w:adjustRightInd w:val="0"/>
        <w:snapToGrid w:val="0"/>
        <w:spacing w:line="360" w:lineRule="auto"/>
        <w:ind w:firstLine="482" w:firstLineChars="200"/>
        <w:jc w:val="left"/>
        <w:rPr>
          <w:rFonts w:hint="eastAsia" w:ascii="宋体" w:hAnsi="宋体" w:eastAsia="宋体" w:cs="宋体"/>
          <w:bCs/>
          <w:sz w:val="24"/>
          <w:szCs w:val="24"/>
        </w:rPr>
      </w:pPr>
      <w:r>
        <w:rPr>
          <w:rFonts w:hint="eastAsia" w:ascii="Times New Roman" w:hAnsi="Times New Roman" w:eastAsia="宋体" w:cs="Times New Roman"/>
          <w:b/>
          <w:bCs/>
          <w:kern w:val="2"/>
          <w:sz w:val="24"/>
          <w:szCs w:val="24"/>
          <w:lang w:val="en-US" w:eastAsia="zh-CN" w:bidi="ar-SA"/>
        </w:rPr>
        <w:t>2</w:t>
      </w:r>
      <w:r>
        <w:rPr>
          <w:rFonts w:hint="eastAsia" w:cs="Times New Roman"/>
          <w:b/>
          <w:bCs/>
          <w:kern w:val="2"/>
          <w:sz w:val="24"/>
          <w:szCs w:val="24"/>
          <w:lang w:val="en-US" w:eastAsia="zh-CN" w:bidi="ar-SA"/>
        </w:rPr>
        <w:t xml:space="preserve"> </w:t>
      </w:r>
      <w:r>
        <w:rPr>
          <w:rFonts w:hint="eastAsia" w:ascii="宋体" w:hAnsi="宋体" w:eastAsia="宋体" w:cs="宋体"/>
          <w:bCs/>
          <w:sz w:val="24"/>
          <w:szCs w:val="24"/>
        </w:rPr>
        <w:t xml:space="preserve"> </w:t>
      </w:r>
      <w:r>
        <w:rPr>
          <w:rFonts w:hint="eastAsia" w:ascii="宋体" w:hAnsi="宋体" w:eastAsia="宋体" w:cs="宋体"/>
          <w:bCs/>
          <w:color w:val="000000" w:themeColor="text1"/>
          <w:sz w:val="24"/>
          <w:szCs w:val="24"/>
          <w14:textFill>
            <w14:solidFill>
              <w14:schemeClr w14:val="tx1"/>
            </w14:solidFill>
          </w14:textFill>
        </w:rPr>
        <w:t>厂区内部可采用有线网络通信保证数据传输稳定性；对于布线困难或临时监测的区域，可选用无线通信方式，但应注意网络安全管控，采取相应信息安全保护措施。</w:t>
      </w:r>
    </w:p>
    <w:p>
      <w:pPr>
        <w:adjustRightInd w:val="0"/>
        <w:snapToGrid w:val="0"/>
        <w:spacing w:line="360" w:lineRule="auto"/>
        <w:ind w:firstLine="482"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color w:val="000000" w:themeColor="text1"/>
          <w:sz w:val="24"/>
          <w:szCs w:val="24"/>
          <w14:textFill>
            <w14:solidFill>
              <w14:schemeClr w14:val="tx1"/>
            </w14:solidFill>
          </w14:textFill>
        </w:rPr>
        <w:t>石油和化工企业作为国家经济发展的重要支柱产业，其关键基础设施的安全性与自主性不容有失，需要从底层硬件到上层软件形成统一协调的国产化架构。雷电预警系统采用国产化产品具有极其重要的意义，能够保障信息安全、技术可控，能够灵活定制功能，实现技术改进需求的快速响应。</w:t>
      </w:r>
    </w:p>
    <w:p>
      <w:pPr>
        <w:adjustRightInd w:val="0"/>
        <w:snapToGrid w:val="0"/>
        <w:spacing w:line="360" w:lineRule="auto"/>
        <w:ind w:firstLine="482" w:firstLineChars="200"/>
        <w:jc w:val="left"/>
        <w:rPr>
          <w:rFonts w:hint="eastAsia" w:ascii="宋体" w:hAnsi="宋体" w:eastAsia="宋体" w:cs="宋体"/>
          <w:bCs/>
          <w:sz w:val="24"/>
          <w:szCs w:val="24"/>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软件运行环境支持国产</w:t>
      </w:r>
      <w:r>
        <w:rPr>
          <w:rFonts w:hint="default" w:ascii="Times New Roman" w:hAnsi="Times New Roman" w:eastAsia="宋体" w:cs="Times New Roman"/>
          <w:color w:val="000000" w:themeColor="text1"/>
          <w:sz w:val="24"/>
          <w:szCs w:val="24"/>
          <w14:textFill>
            <w14:solidFill>
              <w14:schemeClr w14:val="tx1"/>
            </w14:solidFill>
          </w14:textFill>
        </w:rPr>
        <w:t xml:space="preserve"> CPU</w:t>
      </w:r>
      <w:r>
        <w:rPr>
          <w:rFonts w:hint="eastAsia" w:ascii="宋体" w:hAnsi="宋体" w:eastAsia="宋体" w:cs="宋体"/>
          <w:color w:val="000000" w:themeColor="text1"/>
          <w:sz w:val="24"/>
          <w:szCs w:val="24"/>
          <w14:textFill>
            <w14:solidFill>
              <w14:schemeClr w14:val="tx1"/>
            </w14:solidFill>
          </w14:textFill>
        </w:rPr>
        <w:t xml:space="preserve"> 和国产操作系统，也是实现国产化全产业链贯通的关键环节。</w:t>
      </w:r>
    </w:p>
    <w:p>
      <w:pPr>
        <w:adjustRightInd w:val="0"/>
        <w:snapToGrid w:val="0"/>
        <w:spacing w:line="360" w:lineRule="auto"/>
        <w:ind w:firstLine="482" w:firstLineChars="200"/>
        <w:jc w:val="left"/>
        <w:rPr>
          <w:rFonts w:hint="eastAsia" w:ascii="宋体" w:hAnsi="宋体" w:eastAsia="宋体" w:cs="宋体"/>
          <w:bCs/>
          <w:sz w:val="24"/>
          <w:szCs w:val="24"/>
        </w:rPr>
      </w:pPr>
      <w:r>
        <w:rPr>
          <w:rFonts w:hint="eastAsia" w:ascii="Times New Roman" w:hAnsi="Times New Roman" w:eastAsia="宋体" w:cs="Times New Roman"/>
          <w:b/>
          <w:bCs/>
          <w:kern w:val="2"/>
          <w:sz w:val="24"/>
          <w:szCs w:val="24"/>
          <w:lang w:val="en-US" w:eastAsia="zh-CN" w:bidi="ar-SA"/>
        </w:rPr>
        <w:t>6</w:t>
      </w: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与全国危化品风险监测预警平台进行数据交互，可实现石油化工企业雷电预警信息的共享和协同管理。</w:t>
      </w:r>
    </w:p>
    <w:p>
      <w:pPr>
        <w:adjustRightInd w:val="0"/>
        <w:snapToGrid w:val="0"/>
        <w:spacing w:line="360" w:lineRule="auto"/>
        <w:jc w:val="left"/>
        <w:rPr>
          <w:rFonts w:hint="eastAsia" w:ascii="黑体" w:hAnsi="黑体" w:eastAsia="黑体"/>
          <w:bCs/>
          <w:sz w:val="24"/>
          <w:szCs w:val="24"/>
        </w:rPr>
      </w:pPr>
      <w:r>
        <w:rPr>
          <w:rFonts w:hint="eastAsia" w:ascii="Times New Roman" w:hAnsi="Times New Roman" w:eastAsia="宋体" w:cs="Times New Roman"/>
          <w:b/>
          <w:bCs/>
          <w:kern w:val="2"/>
          <w:sz w:val="24"/>
          <w:szCs w:val="24"/>
          <w:lang w:val="en-US" w:eastAsia="zh-CN" w:bidi="ar-SA"/>
        </w:rPr>
        <w:t>6.0.11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sz w:val="24"/>
          <w:szCs w:val="24"/>
        </w:rPr>
        <w:t>本条技术指标是结合《大型油气储存基地雷电预警系统基本要求(试行)》、现行相关标准和实际产品性能参数给出的，用于采用大气电场仪进行雷电探测的系统。</w:t>
      </w:r>
    </w:p>
    <w:p>
      <w:pPr>
        <w:adjustRightInd w:val="0"/>
        <w:snapToGrid w:val="0"/>
        <w:spacing w:line="360" w:lineRule="auto"/>
        <w:ind w:firstLine="482" w:firstLineChars="200"/>
        <w:jc w:val="left"/>
        <w:rPr>
          <w:rFonts w:hint="eastAsia" w:ascii="宋体" w:hAnsi="宋体" w:eastAsia="宋体" w:cs="宋体"/>
          <w:bCs/>
          <w:sz w:val="24"/>
          <w:szCs w:val="24"/>
        </w:rPr>
      </w:pPr>
      <w:r>
        <w:rPr>
          <w:rFonts w:hint="eastAsia" w:ascii="Times New Roman" w:hAnsi="Times New Roman" w:eastAsia="宋体" w:cs="Times New Roman"/>
          <w:b/>
          <w:bCs/>
          <w:kern w:val="2"/>
          <w:sz w:val="24"/>
          <w:szCs w:val="24"/>
          <w:lang w:val="en-US" w:eastAsia="zh-CN" w:bidi="ar-SA"/>
        </w:rPr>
        <w:t>1</w:t>
      </w:r>
      <w:r>
        <w:rPr>
          <w:rFonts w:hint="eastAsia" w:cs="Times New Roman"/>
          <w:b/>
          <w:bCs/>
          <w:kern w:val="2"/>
          <w:sz w:val="24"/>
          <w:szCs w:val="24"/>
          <w:lang w:val="en-US" w:eastAsia="zh-CN" w:bidi="ar-SA"/>
        </w:rPr>
        <w:t xml:space="preserve"> </w:t>
      </w:r>
      <w:r>
        <w:rPr>
          <w:rFonts w:hint="eastAsia" w:ascii="宋体" w:hAnsi="宋体" w:eastAsia="宋体" w:cs="宋体"/>
          <w:bCs/>
          <w:sz w:val="24"/>
          <w:szCs w:val="24"/>
        </w:rPr>
        <w:t xml:space="preserve"> 可定制的提前时间设置，能满足不同企业对预警及时性的个性化需求，如对安全要求极高的关键生产环节，可适当延长预警提前时间。</w:t>
      </w:r>
    </w:p>
    <w:p>
      <w:pPr>
        <w:adjustRightInd w:val="0"/>
        <w:snapToGrid w:val="0"/>
        <w:spacing w:line="360" w:lineRule="auto"/>
        <w:ind w:firstLine="482" w:firstLineChars="200"/>
        <w:rPr>
          <w:rFonts w:hint="eastAsia" w:ascii="宋体" w:hAnsi="宋体" w:eastAsia="宋体" w:cs="宋体"/>
          <w:bCs/>
          <w:sz w:val="24"/>
          <w:szCs w:val="24"/>
        </w:rPr>
      </w:pPr>
      <w:r>
        <w:rPr>
          <w:rFonts w:hint="eastAsia" w:ascii="Times New Roman" w:hAnsi="Times New Roman" w:eastAsia="宋体" w:cs="Times New Roman"/>
          <w:b/>
          <w:bCs/>
          <w:kern w:val="2"/>
          <w:sz w:val="24"/>
          <w:szCs w:val="24"/>
          <w:lang w:val="en-US" w:eastAsia="zh-CN" w:bidi="ar-SA"/>
        </w:rPr>
        <w:t>9</w:t>
      </w: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当外部电源供电中断后，自主持续运行时间不低于</w:t>
      </w:r>
      <w:r>
        <w:rPr>
          <w:rFonts w:hint="default" w:ascii="Times New Roman" w:hAnsi="Times New Roman" w:eastAsia="宋体" w:cs="Times New Roman"/>
          <w:bCs/>
          <w:sz w:val="24"/>
          <w:szCs w:val="24"/>
        </w:rPr>
        <w:t xml:space="preserve"> 6 </w:t>
      </w:r>
      <w:r>
        <w:rPr>
          <w:rFonts w:hint="eastAsia" w:ascii="宋体" w:hAnsi="宋体" w:eastAsia="宋体" w:cs="宋体"/>
          <w:bCs/>
          <w:sz w:val="24"/>
          <w:szCs w:val="24"/>
        </w:rPr>
        <w:t>小时，确保系统在断电情况下仍能继续工作，持续提供雷电预警服务，避免因供电中断导致预警失效。</w:t>
      </w:r>
    </w:p>
    <w:p>
      <w:pPr>
        <w:adjustRightInd w:val="0"/>
        <w:snapToGrid w:val="0"/>
        <w:spacing w:line="360" w:lineRule="auto"/>
        <w:ind w:firstLine="482" w:firstLineChars="200"/>
        <w:jc w:val="left"/>
        <w:rPr>
          <w:rFonts w:hint="eastAsia" w:ascii="宋体" w:hAnsi="宋体"/>
          <w:bCs/>
          <w:sz w:val="24"/>
          <w:szCs w:val="24"/>
        </w:rPr>
        <w:sectPr>
          <w:pgSz w:w="11906" w:h="16838"/>
          <w:pgMar w:top="1440" w:right="1797" w:bottom="1440" w:left="1797" w:header="851" w:footer="584" w:gutter="0"/>
          <w:cols w:space="720" w:num="1"/>
          <w:docGrid w:type="lines" w:linePitch="312" w:charSpace="0"/>
        </w:sectPr>
      </w:pPr>
      <w:r>
        <w:rPr>
          <w:rFonts w:hint="eastAsia" w:ascii="Times New Roman" w:hAnsi="Times New Roman" w:eastAsia="宋体" w:cs="Times New Roman"/>
          <w:b/>
          <w:bCs/>
          <w:kern w:val="2"/>
          <w:sz w:val="24"/>
          <w:szCs w:val="24"/>
          <w:lang w:val="en-US" w:eastAsia="zh-CN" w:bidi="ar-SA"/>
        </w:rPr>
        <w:t>11</w:t>
      </w: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不同级别预警对应不同的应急响应措施，使企业能够根据雷电风险程度合理调配资源，既有效防范雷击风险，又避免过度防护造成的资源浪费。一般一级预警需提醒值班人员加强设备巡检和监测；二级预警需暂停部分非关键生产作业，检查防雷设施状态；三级预警需立即停止所有危险作业，疏散人员到安全区域</w:t>
      </w:r>
      <w:r>
        <w:rPr>
          <w:rFonts w:hint="eastAsia" w:ascii="宋体" w:hAnsi="宋体" w:cs="宋体"/>
          <w:bCs/>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07" w:name="_Toc192871667"/>
      <w:bookmarkStart w:id="108" w:name="_Toc192872071"/>
      <w:bookmarkStart w:id="109" w:name="_Toc192871575"/>
      <w:r>
        <w:rPr>
          <w:rFonts w:hint="eastAsia" w:ascii="Times New Roman" w:hAnsi="Times New Roman" w:eastAsia="宋体" w:cs="Times New Roman"/>
          <w:b/>
          <w:bCs/>
          <w:color w:val="000000" w:themeColor="text1"/>
          <w:sz w:val="30"/>
          <w:szCs w:val="30"/>
          <w14:textFill>
            <w14:solidFill>
              <w14:schemeClr w14:val="tx1"/>
            </w14:solidFill>
          </w14:textFill>
        </w:rPr>
        <w:t xml:space="preserve">7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安装验收</w:t>
      </w:r>
      <w:bookmarkEnd w:id="107"/>
      <w:bookmarkEnd w:id="108"/>
      <w:bookmarkEnd w:id="109"/>
    </w:p>
    <w:p>
      <w:pPr>
        <w:adjustRightInd w:val="0"/>
        <w:snapToGrid w:val="0"/>
        <w:spacing w:line="360" w:lineRule="auto"/>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7.0.1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设计图纸需规划雷电预警系统的整体布局，包括各设备的安装位置、布线走向等，还需说明各监测点的功能要求；清单需明确所需设备、材料的种类与数量；产品手册需提供设备的技术参数、安装方法及注意事项等关键信息。</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7.0.2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硬件安装涵盖雷电探测模块、数据处理模块、应用终端等实体设备的安装。软件安装涉及数据处理模块软件、终端软件、设备驱动程序等的安装和配置。软件安装后需进行初始化设置、参数校准、系统构建、综合调试等操作，使软件与硬件设备协同工作，实现系统功能。</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7.0.3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在沿海、台风多发地区等特殊气象环境下，需充分考虑设备抵御高等级台风的能力。例如，通过加强水泥基座的结构强度、增加支架的固定措施（如采用预埋件、加固螺栓等），确保大气电场仪在强风环境下依然稳固。</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7.0.7</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雷电预警系统的设备及金属部件长期处于这种环境中，如大气电场仪的金属外壳、金属支架、电缆接头等，易发生腐蚀，导致设备结构损坏、性能下降，甚至引发电气故障。采取防腐蚀措施，如对设备表面进行防腐涂层处理（喷涂防腐漆、镀锌等）、选用耐腐蚀材料制作金属部件、对电缆接头进行密封处理等，能够有效减缓设备的腐蚀速度，延长设备使用寿命。</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7.0.8</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功能测试验证软件各项功能，如数据采集、分析处理、报警等是否正常运行；性能测试评估软件运行效率、响应时间等指标是否达标；安全测试检查软件是否存在漏洞，防止数据泄露、非法访问等安全风险。在测试环境稳定运行</w:t>
      </w:r>
      <w:r>
        <w:rPr>
          <w:rFonts w:hint="default" w:ascii="Times New Roman" w:hAnsi="Times New Roman" w:cs="Times New Roman"/>
          <w:bCs/>
          <w:color w:val="000000" w:themeColor="text1"/>
          <w:sz w:val="24"/>
          <w:szCs w:val="24"/>
          <w14:textFill>
            <w14:solidFill>
              <w14:schemeClr w14:val="tx1"/>
            </w14:solidFill>
          </w14:textFill>
        </w:rPr>
        <w:t xml:space="preserve"> 5 </w:t>
      </w:r>
      <w:r>
        <w:rPr>
          <w:rFonts w:hint="eastAsia" w:ascii="宋体" w:hAnsi="宋体"/>
          <w:bCs/>
          <w:color w:val="000000" w:themeColor="text1"/>
          <w:sz w:val="24"/>
          <w:szCs w:val="24"/>
          <w14:textFill>
            <w14:solidFill>
              <w14:schemeClr w14:val="tx1"/>
            </w14:solidFill>
          </w14:textFill>
        </w:rPr>
        <w:t>天，能暴露软件潜在问题，经过调试优化后正式上线运行，可确保软件在实际生产环境中稳定、可靠运行，保障雷电预警系统正常工作。</w:t>
      </w:r>
    </w:p>
    <w:p>
      <w:pPr>
        <w:adjustRightInd w:val="0"/>
        <w:snapToGrid w:val="0"/>
        <w:spacing w:line="360" w:lineRule="auto"/>
        <w:rPr>
          <w:rFonts w:hint="eastAsia" w:ascii="宋体" w:hAnsi="宋体" w:eastAsia="宋体"/>
          <w:sz w:val="24"/>
          <w:szCs w:val="24"/>
          <w:lang w:eastAsia="zh-CN"/>
        </w:rPr>
      </w:pPr>
      <w:r>
        <w:rPr>
          <w:rFonts w:hint="eastAsia" w:ascii="Times New Roman" w:hAnsi="Times New Roman" w:eastAsia="宋体" w:cs="Times New Roman"/>
          <w:b/>
          <w:bCs/>
          <w:kern w:val="2"/>
          <w:sz w:val="24"/>
          <w:szCs w:val="24"/>
          <w:lang w:val="en-US" w:eastAsia="zh-CN" w:bidi="ar-SA"/>
        </w:rPr>
        <w:t>7.0.10</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可通过输入测试数据等方式，检查系统是否能够准确监测雷电相关信息。若功能存在缺陷，如报警不准确、数据丢失等，需及时整改，保证系统投入使用后，能有效监测接地系统运行状态。整改后需重复验收，直至合格</w:t>
      </w:r>
      <w:r>
        <w:rPr>
          <w:rFonts w:hint="eastAsia" w:ascii="宋体" w:hAnsi="宋体"/>
          <w:bCs/>
          <w:color w:val="000000" w:themeColor="text1"/>
          <w:sz w:val="24"/>
          <w:szCs w:val="24"/>
          <w:lang w:eastAsia="zh-CN"/>
          <w14:textFill>
            <w14:solidFill>
              <w14:schemeClr w14:val="tx1"/>
            </w14:solidFill>
          </w14:textFill>
        </w:rPr>
        <w:t>。</w:t>
      </w:r>
    </w:p>
    <w:p>
      <w:pPr>
        <w:adjustRightInd w:val="0"/>
        <w:snapToGrid w:val="0"/>
        <w:spacing w:line="360" w:lineRule="auto"/>
        <w:rPr>
          <w:rFonts w:hint="eastAsia" w:ascii="宋体" w:hAnsi="宋体"/>
          <w:bCs/>
          <w:sz w:val="24"/>
          <w:szCs w:val="24"/>
        </w:rPr>
      </w:pPr>
      <w:r>
        <w:rPr>
          <w:rFonts w:ascii="宋体" w:hAnsi="宋体"/>
          <w:bCs/>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10" w:name="_Toc187406486"/>
      <w:bookmarkStart w:id="111" w:name="_Toc89867101"/>
      <w:bookmarkStart w:id="112" w:name="_Toc89867510"/>
      <w:bookmarkStart w:id="113" w:name="_Toc89867202"/>
      <w:bookmarkStart w:id="114" w:name="_Toc192872072"/>
      <w:bookmarkStart w:id="115" w:name="_Toc192871670"/>
      <w:bookmarkStart w:id="116" w:name="_Toc192871578"/>
      <w:r>
        <w:rPr>
          <w:rFonts w:hint="eastAsia" w:ascii="Times New Roman" w:hAnsi="Times New Roman" w:eastAsia="宋体" w:cs="Times New Roman"/>
          <w:b/>
          <w:bCs/>
          <w:color w:val="000000" w:themeColor="text1"/>
          <w:sz w:val="30"/>
          <w:szCs w:val="30"/>
          <w14:textFill>
            <w14:solidFill>
              <w14:schemeClr w14:val="tx1"/>
            </w14:solidFill>
          </w14:textFill>
        </w:rPr>
        <w:t>8</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 xml:space="preserve"> </w:t>
      </w:r>
      <w:bookmarkEnd w:id="110"/>
      <w:bookmarkEnd w:id="111"/>
      <w:bookmarkEnd w:id="112"/>
      <w:bookmarkEnd w:id="113"/>
      <w:r>
        <w:rPr>
          <w:rFonts w:hint="eastAsia" w:ascii="Times New Roman" w:hAnsi="Times New Roman" w:eastAsia="宋体" w:cs="Times New Roman"/>
          <w:b/>
          <w:bCs/>
          <w:color w:val="000000" w:themeColor="text1"/>
          <w:sz w:val="30"/>
          <w:szCs w:val="30"/>
          <w14:textFill>
            <w14:solidFill>
              <w14:schemeClr w14:val="tx1"/>
            </w14:solidFill>
          </w14:textFill>
        </w:rPr>
        <w:t>运行维护</w:t>
      </w:r>
      <w:bookmarkEnd w:id="114"/>
      <w:bookmarkEnd w:id="115"/>
      <w:bookmarkEnd w:id="116"/>
      <w:bookmarkStart w:id="117" w:name="_Toc187406487"/>
      <w:bookmarkStart w:id="118" w:name="_Toc89867102"/>
      <w:bookmarkStart w:id="119" w:name="_Toc89867511"/>
      <w:bookmarkStart w:id="120" w:name="_Toc89867203"/>
    </w:p>
    <w:bookmarkEnd w:id="117"/>
    <w:bookmarkEnd w:id="118"/>
    <w:bookmarkEnd w:id="119"/>
    <w:bookmarkEnd w:id="120"/>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kern w:val="2"/>
          <w:sz w:val="24"/>
          <w:szCs w:val="24"/>
          <w:lang w:val="en-US" w:eastAsia="zh-CN" w:bidi="ar-SA"/>
        </w:rPr>
        <w:t>8.0.1</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可每天在应用终端软件上</w:t>
      </w:r>
      <w:r>
        <w:rPr>
          <w:rFonts w:hint="eastAsia" w:ascii="宋体" w:hAnsi="宋体"/>
          <w:bCs/>
          <w:color w:val="000000" w:themeColor="text1"/>
          <w:sz w:val="24"/>
          <w:szCs w:val="24"/>
          <w14:textFill>
            <w14:solidFill>
              <w14:schemeClr w14:val="tx1"/>
            </w14:solidFill>
          </w14:textFill>
        </w:rPr>
        <w:t>观察系统运行状况。</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8.0.2</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设备状态检查包括检查硬</w:t>
      </w:r>
      <w:r>
        <w:rPr>
          <w:rFonts w:hint="eastAsia" w:ascii="宋体" w:hAnsi="宋体"/>
          <w:sz w:val="24"/>
          <w:szCs w:val="24"/>
        </w:rPr>
        <w:t>件故障（如传感器损坏、电源故障）、安装松动或环境干扰等问题；通信检查包括检查数据传输线路（有线或无线通信）是否存在断路、短路、信号干扰，通信模块是否正常运行，网络配置是否正确等问题。需快速定位并解决问题。</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8.0.3</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随着石油和化工企业生产工艺调整、安全管理要求变化或周边环境改变等因素，预警应用需求可能发生变化。例如，企业新建了高风险的生产装置，对雷电预警的精准度和覆盖范围有了更高要求；或者企业所在地区雷电活动规律出现变化，原有的预警指标不再适用。此时，立即对目标数据进行新增或修改，能够使雷电预警系统适应新的需求。</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8.0.4</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ascii="宋体" w:hAnsi="宋体"/>
          <w:color w:val="000000" w:themeColor="text1"/>
          <w:sz w:val="24"/>
          <w:szCs w:val="24"/>
          <w14:textFill>
            <w14:solidFill>
              <w14:schemeClr w14:val="tx1"/>
            </w14:solidFill>
          </w14:textFill>
        </w:rPr>
        <w:t>运行数据</w:t>
      </w:r>
      <w:r>
        <w:rPr>
          <w:rFonts w:hint="eastAsia" w:ascii="宋体" w:hAnsi="宋体"/>
          <w:color w:val="000000" w:themeColor="text1"/>
          <w:sz w:val="24"/>
          <w:szCs w:val="24"/>
          <w14:textFill>
            <w14:solidFill>
              <w14:schemeClr w14:val="tx1"/>
            </w14:solidFill>
          </w14:textFill>
        </w:rPr>
        <w:t>包含</w:t>
      </w:r>
      <w:r>
        <w:rPr>
          <w:rFonts w:ascii="宋体" w:hAnsi="宋体"/>
          <w:color w:val="000000" w:themeColor="text1"/>
          <w:sz w:val="24"/>
          <w:szCs w:val="24"/>
          <w14:textFill>
            <w14:solidFill>
              <w14:schemeClr w14:val="tx1"/>
            </w14:solidFill>
          </w14:textFill>
        </w:rPr>
        <w:t>系统运行期间的各项监测数据；事件记录涵盖系统报警事件、设备故障事件、参数</w:t>
      </w:r>
      <w:r>
        <w:rPr>
          <w:rFonts w:ascii="宋体" w:hAnsi="宋体"/>
          <w:sz w:val="24"/>
          <w:szCs w:val="24"/>
        </w:rPr>
        <w:t>调整</w:t>
      </w:r>
      <w:r>
        <w:rPr>
          <w:rFonts w:ascii="宋体" w:hAnsi="宋体"/>
          <w:color w:val="000000" w:themeColor="text1"/>
          <w:sz w:val="24"/>
          <w:szCs w:val="24"/>
          <w14:textFill>
            <w14:solidFill>
              <w14:schemeClr w14:val="tx1"/>
            </w14:solidFill>
          </w14:textFill>
        </w:rPr>
        <w:t>事件等重要信息；运维记录</w:t>
      </w:r>
      <w:r>
        <w:rPr>
          <w:rFonts w:hint="eastAsia" w:ascii="宋体" w:hAnsi="宋体"/>
          <w:color w:val="000000" w:themeColor="text1"/>
          <w:sz w:val="24"/>
          <w:szCs w:val="24"/>
          <w14:textFill>
            <w14:solidFill>
              <w14:schemeClr w14:val="tx1"/>
            </w14:solidFill>
          </w14:textFill>
        </w:rPr>
        <w:t>包括</w:t>
      </w:r>
      <w:r>
        <w:rPr>
          <w:rFonts w:ascii="宋体" w:hAnsi="宋体"/>
          <w:color w:val="000000" w:themeColor="text1"/>
          <w:sz w:val="24"/>
          <w:szCs w:val="24"/>
          <w14:textFill>
            <w14:solidFill>
              <w14:schemeClr w14:val="tx1"/>
            </w14:solidFill>
          </w14:textFill>
        </w:rPr>
        <w:t>对系统进行维护、检修、升级等操作的情况。</w:t>
      </w:r>
      <w:r>
        <w:rPr>
          <w:rFonts w:hint="eastAsia" w:ascii="宋体" w:hAnsi="宋体"/>
          <w:color w:val="000000" w:themeColor="text1"/>
          <w:sz w:val="24"/>
          <w:szCs w:val="24"/>
          <w14:textFill>
            <w14:solidFill>
              <w14:schemeClr w14:val="tx1"/>
            </w14:solidFill>
          </w14:textFill>
        </w:rPr>
        <w:t>建议</w:t>
      </w:r>
      <w:r>
        <w:rPr>
          <w:rFonts w:ascii="宋体" w:hAnsi="宋体"/>
          <w:color w:val="000000" w:themeColor="text1"/>
          <w:sz w:val="24"/>
          <w:szCs w:val="24"/>
          <w14:textFill>
            <w14:solidFill>
              <w14:schemeClr w14:val="tx1"/>
            </w14:solidFill>
          </w14:textFill>
        </w:rPr>
        <w:t>定期打印存档</w:t>
      </w:r>
      <w:r>
        <w:rPr>
          <w:rFonts w:hint="eastAsia" w:ascii="宋体" w:hAnsi="宋体"/>
          <w:color w:val="000000" w:themeColor="text1"/>
          <w:sz w:val="24"/>
          <w:szCs w:val="24"/>
          <w14:textFill>
            <w14:solidFill>
              <w14:schemeClr w14:val="tx1"/>
            </w14:solidFill>
          </w14:textFill>
        </w:rPr>
        <w:t>，防止电子数据丢失。</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8.0.6</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雨季雷电活动频繁，需提前让系统保持良好运行状态。</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8.0.7</w:t>
      </w:r>
      <w:r>
        <w:rPr>
          <w:rFonts w:hint="eastAsia" w:ascii="宋体" w:hAnsi="宋体" w:eastAsia="宋体" w:cs="宋体"/>
          <w:b/>
          <w:bCs/>
          <w:kern w:val="2"/>
          <w:sz w:val="24"/>
          <w:szCs w:val="24"/>
          <w:lang w:val="en-US" w:eastAsia="zh-CN" w:bidi="ar-SA"/>
        </w:rPr>
        <w:t xml:space="preserve"> </w:t>
      </w:r>
      <w:r>
        <w:rPr>
          <w:rFonts w:hint="eastAsia" w:ascii="宋体" w:hAnsi="宋体" w:cs="宋体"/>
          <w:b/>
          <w:bCs/>
          <w:kern w:val="2"/>
          <w:sz w:val="24"/>
          <w:szCs w:val="24"/>
          <w:lang w:val="en-US" w:eastAsia="zh-CN" w:bidi="ar-SA"/>
        </w:rPr>
        <w:t xml:space="preserve"> </w:t>
      </w:r>
      <w:r>
        <w:rPr>
          <w:rFonts w:hint="eastAsia" w:ascii="宋体" w:hAnsi="宋体"/>
          <w:sz w:val="24"/>
          <w:szCs w:val="24"/>
        </w:rPr>
        <w:t>在运行过程中，系统可能会因环境变化、设备老化、软件漏洞等因素，出现预警准确性下降、数据处理效率降低等问题。通过运行优化调整，可对设备进行校准和维护，如重新校准大气电场仪的测量精度；对软件进行升级和优化，修复漏洞、提高运行速度和稳定性；根据实际雷电监测数据，优化预警算法和阈值设置，提高预警的准确性和可靠性。</w:t>
      </w:r>
    </w:p>
    <w:p>
      <w:pPr>
        <w:adjustRightInd w:val="0"/>
        <w:snapToGrid w:val="0"/>
        <w:spacing w:line="360" w:lineRule="auto"/>
        <w:rPr>
          <w:rFonts w:hint="eastAsia" w:ascii="黑体" w:hAnsi="黑体" w:eastAsia="黑体"/>
          <w:sz w:val="24"/>
          <w:szCs w:val="24"/>
        </w:rPr>
      </w:pPr>
      <w:r>
        <w:rPr>
          <w:rFonts w:hint="eastAsia" w:ascii="Times New Roman" w:hAnsi="Times New Roman" w:eastAsia="宋体" w:cs="Times New Roman"/>
          <w:b/>
          <w:bCs/>
          <w:kern w:val="2"/>
          <w:sz w:val="24"/>
          <w:szCs w:val="24"/>
          <w:lang w:val="en-US" w:eastAsia="zh-CN" w:bidi="ar-SA"/>
        </w:rPr>
        <w:t>8.0.8</w:t>
      </w:r>
      <w:r>
        <w:rPr>
          <w:rFonts w:hint="eastAsia" w:cs="Times New Roman"/>
          <w:b/>
          <w:bCs/>
          <w:kern w:val="2"/>
          <w:sz w:val="24"/>
          <w:szCs w:val="24"/>
          <w:lang w:val="en-US" w:eastAsia="zh-CN" w:bidi="ar-SA"/>
        </w:rPr>
        <w:t xml:space="preserve"> </w:t>
      </w:r>
      <w:r>
        <w:rPr>
          <w:rFonts w:hint="eastAsia" w:ascii="宋体" w:hAnsi="宋体" w:eastAsia="宋体" w:cs="宋体"/>
          <w:b/>
          <w:bCs/>
          <w:kern w:val="2"/>
          <w:sz w:val="24"/>
          <w:szCs w:val="24"/>
          <w:lang w:val="en-US" w:eastAsia="zh-CN" w:bidi="ar-SA"/>
        </w:rPr>
        <w:t xml:space="preserve"> </w:t>
      </w:r>
      <w:r>
        <w:rPr>
          <w:rFonts w:hint="eastAsia" w:ascii="宋体" w:hAnsi="宋体"/>
          <w:sz w:val="24"/>
          <w:szCs w:val="24"/>
        </w:rPr>
        <w:t>盐雾和腐蚀性物质会逐渐侵蚀设备的金属外壳、线路、电子元件等，导致设备短路、接触不良、性能下降甚至损坏，需提高检测维护的频率。</w:t>
      </w:r>
    </w:p>
    <w:sectPr>
      <w:pgSz w:w="11906" w:h="16838"/>
      <w:pgMar w:top="1440" w:right="1797" w:bottom="1440" w:left="1797" w:header="851" w:footer="5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Elephant">
    <w:panose1 w:val="02020904090505020303"/>
    <w:charset w:val="00"/>
    <w:family w:val="roman"/>
    <w:pitch w:val="default"/>
    <w:sig w:usb0="00000003" w:usb1="00000000" w:usb2="00000000" w:usb3="00000000" w:csb0="2000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2518316"/>
    </w:sdtPr>
    <w:sdtContent>
      <w:p>
        <w:pPr>
          <w:pStyle w:val="7"/>
          <w:jc w:val="right"/>
        </w:pPr>
        <w:r>
          <w:fldChar w:fldCharType="begin"/>
        </w:r>
        <w:r>
          <w:instrText xml:space="preserve">PAGE   \* MERGEFORMAT</w:instrText>
        </w:r>
        <w:r>
          <w:fldChar w:fldCharType="separate"/>
        </w:r>
        <w:r>
          <w:rPr>
            <w:lang w:val="zh-CN"/>
          </w:rPr>
          <w:t>31</w:t>
        </w:r>
        <w:r>
          <w:rPr>
            <w:lang w:val="zh-CN"/>
          </w:rP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4826253"/>
    </w:sdtPr>
    <w:sdtContent>
      <w:p>
        <w:pPr>
          <w:pStyle w:val="7"/>
        </w:pPr>
        <w:r>
          <w:fldChar w:fldCharType="begin"/>
        </w:r>
        <w:r>
          <w:instrText xml:space="preserve">PAGE   \* MERGEFORMAT</w:instrText>
        </w:r>
        <w:r>
          <w:fldChar w:fldCharType="separate"/>
        </w:r>
        <w:r>
          <w:rPr>
            <w:lang w:val="zh-CN"/>
          </w:rPr>
          <w:t>28</w:t>
        </w:r>
        <w:r>
          <w:rPr>
            <w:lang w:val="zh-CN"/>
          </w:rPr>
          <w:fldChar w:fldCharType="end"/>
        </w:r>
      </w:p>
    </w:sdtContent>
  </w:sdt>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rPr>
        <w:rStyle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lang w:val="zh-CN"/>
      </w:rPr>
      <w:fldChar w:fldCharType="begin"/>
    </w:r>
    <w:r>
      <w:rPr>
        <w:lang w:val="zh-CN"/>
      </w:rPr>
      <w:instrText xml:space="preserve">PAGE   \* MERGEFORMAT</w:instrText>
    </w:r>
    <w:r>
      <w:rPr>
        <w:lang w:val="zh-CN"/>
      </w:rPr>
      <w:fldChar w:fldCharType="separate"/>
    </w:r>
    <w:r>
      <w:rPr>
        <w:lang w:val="zh-CN"/>
      </w:rPr>
      <w:t>1</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lang w:val="zh-CN"/>
      </w:rPr>
      <w:fldChar w:fldCharType="begin"/>
    </w:r>
    <w:r>
      <w:rPr>
        <w:lang w:val="zh-CN"/>
      </w:rPr>
      <w:instrText xml:space="preserve">PAGE   \* MERGEFORMAT</w:instrText>
    </w:r>
    <w:r>
      <w:rPr>
        <w:lang w:val="zh-CN"/>
      </w:rPr>
      <w:fldChar w:fldCharType="separate"/>
    </w:r>
    <w:r>
      <w:rPr>
        <w:lang w:val="zh-CN"/>
      </w:rPr>
      <w:t>1</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B033C6"/>
    <w:multiLevelType w:val="multilevel"/>
    <w:tmpl w:val="3EB033C6"/>
    <w:lvl w:ilvl="0" w:tentative="0">
      <w:start w:val="1"/>
      <w:numFmt w:val="lowerLetter"/>
      <w:pStyle w:val="47"/>
      <w:lvlText w:val="%1)"/>
      <w:lvlJc w:val="left"/>
      <w:pPr>
        <w:tabs>
          <w:tab w:val="left" w:pos="1123"/>
        </w:tabs>
        <w:ind w:left="1123" w:hanging="55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A1"/>
    <w:rsid w:val="00000967"/>
    <w:rsid w:val="00000DC0"/>
    <w:rsid w:val="000010A5"/>
    <w:rsid w:val="00002E08"/>
    <w:rsid w:val="0000538D"/>
    <w:rsid w:val="00007618"/>
    <w:rsid w:val="00007FAF"/>
    <w:rsid w:val="000139A0"/>
    <w:rsid w:val="0001509E"/>
    <w:rsid w:val="00015AD7"/>
    <w:rsid w:val="00016055"/>
    <w:rsid w:val="000167D2"/>
    <w:rsid w:val="00016C84"/>
    <w:rsid w:val="00016EBE"/>
    <w:rsid w:val="00017EF8"/>
    <w:rsid w:val="0002485F"/>
    <w:rsid w:val="00025830"/>
    <w:rsid w:val="00025D27"/>
    <w:rsid w:val="000265F4"/>
    <w:rsid w:val="00031192"/>
    <w:rsid w:val="000316D6"/>
    <w:rsid w:val="00031E32"/>
    <w:rsid w:val="00033822"/>
    <w:rsid w:val="00034781"/>
    <w:rsid w:val="000348F6"/>
    <w:rsid w:val="000350A2"/>
    <w:rsid w:val="000351CE"/>
    <w:rsid w:val="00035625"/>
    <w:rsid w:val="00040688"/>
    <w:rsid w:val="000406E7"/>
    <w:rsid w:val="000407B6"/>
    <w:rsid w:val="000413D3"/>
    <w:rsid w:val="000420C5"/>
    <w:rsid w:val="00042B5E"/>
    <w:rsid w:val="0004349A"/>
    <w:rsid w:val="0004381C"/>
    <w:rsid w:val="00045501"/>
    <w:rsid w:val="000460C4"/>
    <w:rsid w:val="00046EBC"/>
    <w:rsid w:val="00046F2C"/>
    <w:rsid w:val="00047D1E"/>
    <w:rsid w:val="00050D00"/>
    <w:rsid w:val="00050DAC"/>
    <w:rsid w:val="0005231E"/>
    <w:rsid w:val="000523AF"/>
    <w:rsid w:val="0005296D"/>
    <w:rsid w:val="00053547"/>
    <w:rsid w:val="00053D5D"/>
    <w:rsid w:val="00054ABB"/>
    <w:rsid w:val="000551FA"/>
    <w:rsid w:val="000565D3"/>
    <w:rsid w:val="00056884"/>
    <w:rsid w:val="000600EE"/>
    <w:rsid w:val="0006067E"/>
    <w:rsid w:val="0006142F"/>
    <w:rsid w:val="00063682"/>
    <w:rsid w:val="000639A3"/>
    <w:rsid w:val="00063FEE"/>
    <w:rsid w:val="00067302"/>
    <w:rsid w:val="000704F3"/>
    <w:rsid w:val="00070E6A"/>
    <w:rsid w:val="00070E80"/>
    <w:rsid w:val="00070F42"/>
    <w:rsid w:val="000720BD"/>
    <w:rsid w:val="00072FCB"/>
    <w:rsid w:val="00075336"/>
    <w:rsid w:val="0007588B"/>
    <w:rsid w:val="0008146B"/>
    <w:rsid w:val="00082447"/>
    <w:rsid w:val="00083D72"/>
    <w:rsid w:val="000849A6"/>
    <w:rsid w:val="00085623"/>
    <w:rsid w:val="00087348"/>
    <w:rsid w:val="00090A81"/>
    <w:rsid w:val="00090D71"/>
    <w:rsid w:val="00091991"/>
    <w:rsid w:val="00091A20"/>
    <w:rsid w:val="00091E96"/>
    <w:rsid w:val="00091FD3"/>
    <w:rsid w:val="000920F7"/>
    <w:rsid w:val="000932FE"/>
    <w:rsid w:val="0009376C"/>
    <w:rsid w:val="0009490E"/>
    <w:rsid w:val="00094EF8"/>
    <w:rsid w:val="000953E2"/>
    <w:rsid w:val="000961EE"/>
    <w:rsid w:val="0009734B"/>
    <w:rsid w:val="00097888"/>
    <w:rsid w:val="000A0405"/>
    <w:rsid w:val="000A24CA"/>
    <w:rsid w:val="000A343E"/>
    <w:rsid w:val="000A5C3F"/>
    <w:rsid w:val="000A6187"/>
    <w:rsid w:val="000A632B"/>
    <w:rsid w:val="000A7A8E"/>
    <w:rsid w:val="000A7D3F"/>
    <w:rsid w:val="000A7F86"/>
    <w:rsid w:val="000B10D9"/>
    <w:rsid w:val="000B1759"/>
    <w:rsid w:val="000B2D1D"/>
    <w:rsid w:val="000B3F17"/>
    <w:rsid w:val="000B6169"/>
    <w:rsid w:val="000B7767"/>
    <w:rsid w:val="000C1E75"/>
    <w:rsid w:val="000C1F28"/>
    <w:rsid w:val="000C224C"/>
    <w:rsid w:val="000C28FE"/>
    <w:rsid w:val="000C3E0B"/>
    <w:rsid w:val="000C5D00"/>
    <w:rsid w:val="000C6290"/>
    <w:rsid w:val="000C6607"/>
    <w:rsid w:val="000D0437"/>
    <w:rsid w:val="000D10EC"/>
    <w:rsid w:val="000D1293"/>
    <w:rsid w:val="000D2620"/>
    <w:rsid w:val="000D2A6E"/>
    <w:rsid w:val="000D3B8B"/>
    <w:rsid w:val="000D5C07"/>
    <w:rsid w:val="000D5DDF"/>
    <w:rsid w:val="000D603C"/>
    <w:rsid w:val="000D69BF"/>
    <w:rsid w:val="000D6DE3"/>
    <w:rsid w:val="000D6F8C"/>
    <w:rsid w:val="000D7F20"/>
    <w:rsid w:val="000E0839"/>
    <w:rsid w:val="000E1AA8"/>
    <w:rsid w:val="000E1CC5"/>
    <w:rsid w:val="000E3886"/>
    <w:rsid w:val="000E546F"/>
    <w:rsid w:val="000E6E07"/>
    <w:rsid w:val="000F0531"/>
    <w:rsid w:val="000F0E32"/>
    <w:rsid w:val="000F2225"/>
    <w:rsid w:val="000F2855"/>
    <w:rsid w:val="000F2AA2"/>
    <w:rsid w:val="000F3430"/>
    <w:rsid w:val="000F3A2A"/>
    <w:rsid w:val="000F7D3E"/>
    <w:rsid w:val="001033B9"/>
    <w:rsid w:val="0010599C"/>
    <w:rsid w:val="00107383"/>
    <w:rsid w:val="001073EC"/>
    <w:rsid w:val="00114363"/>
    <w:rsid w:val="00114EBD"/>
    <w:rsid w:val="001157A3"/>
    <w:rsid w:val="00116DC4"/>
    <w:rsid w:val="00116E5A"/>
    <w:rsid w:val="00117A5F"/>
    <w:rsid w:val="00120466"/>
    <w:rsid w:val="00120A1F"/>
    <w:rsid w:val="0012110F"/>
    <w:rsid w:val="00125388"/>
    <w:rsid w:val="00126372"/>
    <w:rsid w:val="00127669"/>
    <w:rsid w:val="00130B84"/>
    <w:rsid w:val="00131F91"/>
    <w:rsid w:val="001320CE"/>
    <w:rsid w:val="00132E71"/>
    <w:rsid w:val="0013522F"/>
    <w:rsid w:val="0013686A"/>
    <w:rsid w:val="00136906"/>
    <w:rsid w:val="001376CC"/>
    <w:rsid w:val="001401E8"/>
    <w:rsid w:val="00143F94"/>
    <w:rsid w:val="00144494"/>
    <w:rsid w:val="00144B0D"/>
    <w:rsid w:val="00145A92"/>
    <w:rsid w:val="00145C40"/>
    <w:rsid w:val="00146435"/>
    <w:rsid w:val="001476B7"/>
    <w:rsid w:val="00147FAB"/>
    <w:rsid w:val="00150A64"/>
    <w:rsid w:val="00150AD0"/>
    <w:rsid w:val="0015258E"/>
    <w:rsid w:val="001529C2"/>
    <w:rsid w:val="00153E6B"/>
    <w:rsid w:val="00154261"/>
    <w:rsid w:val="00154D7A"/>
    <w:rsid w:val="0015585F"/>
    <w:rsid w:val="00155E00"/>
    <w:rsid w:val="00157B6F"/>
    <w:rsid w:val="0016239C"/>
    <w:rsid w:val="00165985"/>
    <w:rsid w:val="00165D70"/>
    <w:rsid w:val="001664E9"/>
    <w:rsid w:val="00167C6A"/>
    <w:rsid w:val="00167EAD"/>
    <w:rsid w:val="00171669"/>
    <w:rsid w:val="0017208D"/>
    <w:rsid w:val="00172A0D"/>
    <w:rsid w:val="00172A27"/>
    <w:rsid w:val="00173066"/>
    <w:rsid w:val="001746C1"/>
    <w:rsid w:val="001747F4"/>
    <w:rsid w:val="00174AD3"/>
    <w:rsid w:val="0017568C"/>
    <w:rsid w:val="0017579D"/>
    <w:rsid w:val="00176EA7"/>
    <w:rsid w:val="00176EEE"/>
    <w:rsid w:val="00180560"/>
    <w:rsid w:val="00181FD9"/>
    <w:rsid w:val="00182E94"/>
    <w:rsid w:val="001833D6"/>
    <w:rsid w:val="00184A67"/>
    <w:rsid w:val="00185EC2"/>
    <w:rsid w:val="00186419"/>
    <w:rsid w:val="00186CC5"/>
    <w:rsid w:val="00187CDE"/>
    <w:rsid w:val="00187E50"/>
    <w:rsid w:val="00187EE2"/>
    <w:rsid w:val="00190503"/>
    <w:rsid w:val="001918CE"/>
    <w:rsid w:val="00191C4D"/>
    <w:rsid w:val="00192E0A"/>
    <w:rsid w:val="00192FD9"/>
    <w:rsid w:val="00193668"/>
    <w:rsid w:val="00193A34"/>
    <w:rsid w:val="00193E63"/>
    <w:rsid w:val="00194F2C"/>
    <w:rsid w:val="00195FA9"/>
    <w:rsid w:val="00196618"/>
    <w:rsid w:val="001977B0"/>
    <w:rsid w:val="0019794F"/>
    <w:rsid w:val="00197C7C"/>
    <w:rsid w:val="00197EB1"/>
    <w:rsid w:val="001A2D88"/>
    <w:rsid w:val="001A3A47"/>
    <w:rsid w:val="001A4C62"/>
    <w:rsid w:val="001A502C"/>
    <w:rsid w:val="001A50B5"/>
    <w:rsid w:val="001A5290"/>
    <w:rsid w:val="001B16AF"/>
    <w:rsid w:val="001B1AE5"/>
    <w:rsid w:val="001B1BF6"/>
    <w:rsid w:val="001B237C"/>
    <w:rsid w:val="001B44AC"/>
    <w:rsid w:val="001B6511"/>
    <w:rsid w:val="001C0165"/>
    <w:rsid w:val="001C21B6"/>
    <w:rsid w:val="001C32DF"/>
    <w:rsid w:val="001C7C95"/>
    <w:rsid w:val="001D1DD2"/>
    <w:rsid w:val="001D3CAF"/>
    <w:rsid w:val="001D73AA"/>
    <w:rsid w:val="001D7C6D"/>
    <w:rsid w:val="001E0C48"/>
    <w:rsid w:val="001E17CA"/>
    <w:rsid w:val="001E1C55"/>
    <w:rsid w:val="001E3903"/>
    <w:rsid w:val="001E4E93"/>
    <w:rsid w:val="001E52BA"/>
    <w:rsid w:val="001E53F3"/>
    <w:rsid w:val="001E567F"/>
    <w:rsid w:val="001E7623"/>
    <w:rsid w:val="001E78C6"/>
    <w:rsid w:val="001F028E"/>
    <w:rsid w:val="001F0F5B"/>
    <w:rsid w:val="001F100B"/>
    <w:rsid w:val="001F1831"/>
    <w:rsid w:val="001F1C46"/>
    <w:rsid w:val="001F2292"/>
    <w:rsid w:val="001F3407"/>
    <w:rsid w:val="001F3B84"/>
    <w:rsid w:val="001F4141"/>
    <w:rsid w:val="001F449E"/>
    <w:rsid w:val="001F6B2C"/>
    <w:rsid w:val="001F6C7A"/>
    <w:rsid w:val="001F7839"/>
    <w:rsid w:val="00200873"/>
    <w:rsid w:val="0020148B"/>
    <w:rsid w:val="002018B4"/>
    <w:rsid w:val="002028D7"/>
    <w:rsid w:val="00202A23"/>
    <w:rsid w:val="00202B4C"/>
    <w:rsid w:val="0020347B"/>
    <w:rsid w:val="0020369E"/>
    <w:rsid w:val="00203CEE"/>
    <w:rsid w:val="00207ADF"/>
    <w:rsid w:val="002102EE"/>
    <w:rsid w:val="00211264"/>
    <w:rsid w:val="002118A7"/>
    <w:rsid w:val="0021259F"/>
    <w:rsid w:val="002129C8"/>
    <w:rsid w:val="00213A3D"/>
    <w:rsid w:val="00214909"/>
    <w:rsid w:val="0021551A"/>
    <w:rsid w:val="00216114"/>
    <w:rsid w:val="002171D1"/>
    <w:rsid w:val="00217418"/>
    <w:rsid w:val="002220C6"/>
    <w:rsid w:val="002234FE"/>
    <w:rsid w:val="002239EE"/>
    <w:rsid w:val="00224379"/>
    <w:rsid w:val="002245C5"/>
    <w:rsid w:val="00224AF6"/>
    <w:rsid w:val="00226E79"/>
    <w:rsid w:val="00227722"/>
    <w:rsid w:val="00227B41"/>
    <w:rsid w:val="00227F41"/>
    <w:rsid w:val="0023024B"/>
    <w:rsid w:val="00230E7E"/>
    <w:rsid w:val="00231D41"/>
    <w:rsid w:val="00232A59"/>
    <w:rsid w:val="00232B50"/>
    <w:rsid w:val="00233015"/>
    <w:rsid w:val="002331C6"/>
    <w:rsid w:val="002334B9"/>
    <w:rsid w:val="00234382"/>
    <w:rsid w:val="0023481C"/>
    <w:rsid w:val="00234873"/>
    <w:rsid w:val="0023584C"/>
    <w:rsid w:val="0024002C"/>
    <w:rsid w:val="002402B7"/>
    <w:rsid w:val="00240CF7"/>
    <w:rsid w:val="00240DC7"/>
    <w:rsid w:val="0024154B"/>
    <w:rsid w:val="00242E57"/>
    <w:rsid w:val="002441F4"/>
    <w:rsid w:val="002441F6"/>
    <w:rsid w:val="00246C1D"/>
    <w:rsid w:val="00247244"/>
    <w:rsid w:val="00250D97"/>
    <w:rsid w:val="00250E79"/>
    <w:rsid w:val="002557EF"/>
    <w:rsid w:val="00256C40"/>
    <w:rsid w:val="00260243"/>
    <w:rsid w:val="00260898"/>
    <w:rsid w:val="00261801"/>
    <w:rsid w:val="00262037"/>
    <w:rsid w:val="00262427"/>
    <w:rsid w:val="00262F6D"/>
    <w:rsid w:val="0026519E"/>
    <w:rsid w:val="002652F0"/>
    <w:rsid w:val="0026536F"/>
    <w:rsid w:val="002662FF"/>
    <w:rsid w:val="00266343"/>
    <w:rsid w:val="00267921"/>
    <w:rsid w:val="00267E1C"/>
    <w:rsid w:val="00270C86"/>
    <w:rsid w:val="00270F3B"/>
    <w:rsid w:val="00272B90"/>
    <w:rsid w:val="00272EF0"/>
    <w:rsid w:val="00273CDA"/>
    <w:rsid w:val="00274006"/>
    <w:rsid w:val="0027455C"/>
    <w:rsid w:val="002747BD"/>
    <w:rsid w:val="00274970"/>
    <w:rsid w:val="002755CE"/>
    <w:rsid w:val="00281CE3"/>
    <w:rsid w:val="0028217B"/>
    <w:rsid w:val="002824CD"/>
    <w:rsid w:val="0028332C"/>
    <w:rsid w:val="0028484F"/>
    <w:rsid w:val="00285E5F"/>
    <w:rsid w:val="00286040"/>
    <w:rsid w:val="00286C53"/>
    <w:rsid w:val="00287019"/>
    <w:rsid w:val="00290FDB"/>
    <w:rsid w:val="00291011"/>
    <w:rsid w:val="00291226"/>
    <w:rsid w:val="00292406"/>
    <w:rsid w:val="00292778"/>
    <w:rsid w:val="00292EB2"/>
    <w:rsid w:val="002936C3"/>
    <w:rsid w:val="0029468F"/>
    <w:rsid w:val="00294A79"/>
    <w:rsid w:val="002952A2"/>
    <w:rsid w:val="00296DBD"/>
    <w:rsid w:val="002A1640"/>
    <w:rsid w:val="002A365F"/>
    <w:rsid w:val="002A4F1D"/>
    <w:rsid w:val="002A5294"/>
    <w:rsid w:val="002A617B"/>
    <w:rsid w:val="002A6D92"/>
    <w:rsid w:val="002B27F1"/>
    <w:rsid w:val="002B2DC8"/>
    <w:rsid w:val="002B39C6"/>
    <w:rsid w:val="002B4632"/>
    <w:rsid w:val="002B478C"/>
    <w:rsid w:val="002B48BC"/>
    <w:rsid w:val="002B4946"/>
    <w:rsid w:val="002B5AAA"/>
    <w:rsid w:val="002B5AF4"/>
    <w:rsid w:val="002B5BFA"/>
    <w:rsid w:val="002B5C41"/>
    <w:rsid w:val="002B6F5F"/>
    <w:rsid w:val="002B7B73"/>
    <w:rsid w:val="002B7F21"/>
    <w:rsid w:val="002C1E3F"/>
    <w:rsid w:val="002C22FE"/>
    <w:rsid w:val="002C27C7"/>
    <w:rsid w:val="002C29EF"/>
    <w:rsid w:val="002C2C00"/>
    <w:rsid w:val="002C2C50"/>
    <w:rsid w:val="002C3607"/>
    <w:rsid w:val="002C615C"/>
    <w:rsid w:val="002C710A"/>
    <w:rsid w:val="002C79FD"/>
    <w:rsid w:val="002D173D"/>
    <w:rsid w:val="002D1815"/>
    <w:rsid w:val="002D310C"/>
    <w:rsid w:val="002D3FB6"/>
    <w:rsid w:val="002D5510"/>
    <w:rsid w:val="002D557D"/>
    <w:rsid w:val="002D6B14"/>
    <w:rsid w:val="002D7574"/>
    <w:rsid w:val="002E03E3"/>
    <w:rsid w:val="002E04FB"/>
    <w:rsid w:val="002E1B32"/>
    <w:rsid w:val="002E2012"/>
    <w:rsid w:val="002E320E"/>
    <w:rsid w:val="002E3937"/>
    <w:rsid w:val="002E5CB8"/>
    <w:rsid w:val="002E6002"/>
    <w:rsid w:val="002F004E"/>
    <w:rsid w:val="002F014B"/>
    <w:rsid w:val="002F0605"/>
    <w:rsid w:val="002F2DF3"/>
    <w:rsid w:val="002F2F05"/>
    <w:rsid w:val="002F3C0C"/>
    <w:rsid w:val="002F4F63"/>
    <w:rsid w:val="002F5244"/>
    <w:rsid w:val="002F5E36"/>
    <w:rsid w:val="002F7708"/>
    <w:rsid w:val="002F7BE3"/>
    <w:rsid w:val="00300DAE"/>
    <w:rsid w:val="00301215"/>
    <w:rsid w:val="0030157C"/>
    <w:rsid w:val="00302848"/>
    <w:rsid w:val="00302F4F"/>
    <w:rsid w:val="00304AF9"/>
    <w:rsid w:val="00304F16"/>
    <w:rsid w:val="00305740"/>
    <w:rsid w:val="00305FB1"/>
    <w:rsid w:val="0030656E"/>
    <w:rsid w:val="00306F4C"/>
    <w:rsid w:val="0031139C"/>
    <w:rsid w:val="00312076"/>
    <w:rsid w:val="00312263"/>
    <w:rsid w:val="00314439"/>
    <w:rsid w:val="00314B27"/>
    <w:rsid w:val="00315516"/>
    <w:rsid w:val="003155EE"/>
    <w:rsid w:val="00315A35"/>
    <w:rsid w:val="0031792D"/>
    <w:rsid w:val="0032057D"/>
    <w:rsid w:val="00321B12"/>
    <w:rsid w:val="0032238A"/>
    <w:rsid w:val="00324788"/>
    <w:rsid w:val="00327063"/>
    <w:rsid w:val="00330CB4"/>
    <w:rsid w:val="00331173"/>
    <w:rsid w:val="003317DD"/>
    <w:rsid w:val="00331A8E"/>
    <w:rsid w:val="00332A00"/>
    <w:rsid w:val="003330DF"/>
    <w:rsid w:val="003330EC"/>
    <w:rsid w:val="00333EFC"/>
    <w:rsid w:val="00334A7D"/>
    <w:rsid w:val="003350EE"/>
    <w:rsid w:val="003419A2"/>
    <w:rsid w:val="00342080"/>
    <w:rsid w:val="003466BB"/>
    <w:rsid w:val="003471CF"/>
    <w:rsid w:val="00347295"/>
    <w:rsid w:val="003474E1"/>
    <w:rsid w:val="003519B6"/>
    <w:rsid w:val="0035270D"/>
    <w:rsid w:val="00352E06"/>
    <w:rsid w:val="0035401D"/>
    <w:rsid w:val="00354A2F"/>
    <w:rsid w:val="003558BD"/>
    <w:rsid w:val="0035785E"/>
    <w:rsid w:val="00357D7D"/>
    <w:rsid w:val="00360D65"/>
    <w:rsid w:val="00361582"/>
    <w:rsid w:val="00364022"/>
    <w:rsid w:val="0036414A"/>
    <w:rsid w:val="0036459C"/>
    <w:rsid w:val="00364D1D"/>
    <w:rsid w:val="0037413D"/>
    <w:rsid w:val="00374552"/>
    <w:rsid w:val="00374622"/>
    <w:rsid w:val="003748C3"/>
    <w:rsid w:val="00374CE1"/>
    <w:rsid w:val="00375F8D"/>
    <w:rsid w:val="00376C67"/>
    <w:rsid w:val="00376EA6"/>
    <w:rsid w:val="0037718B"/>
    <w:rsid w:val="00380740"/>
    <w:rsid w:val="00380F0B"/>
    <w:rsid w:val="00381D22"/>
    <w:rsid w:val="00383374"/>
    <w:rsid w:val="00384EDD"/>
    <w:rsid w:val="00387D52"/>
    <w:rsid w:val="00391256"/>
    <w:rsid w:val="0039623C"/>
    <w:rsid w:val="00396997"/>
    <w:rsid w:val="00397C2E"/>
    <w:rsid w:val="003A01CA"/>
    <w:rsid w:val="003A0871"/>
    <w:rsid w:val="003A18F2"/>
    <w:rsid w:val="003A38E8"/>
    <w:rsid w:val="003A490C"/>
    <w:rsid w:val="003A50ED"/>
    <w:rsid w:val="003A5A0B"/>
    <w:rsid w:val="003A5C1B"/>
    <w:rsid w:val="003A79C1"/>
    <w:rsid w:val="003B0258"/>
    <w:rsid w:val="003B093B"/>
    <w:rsid w:val="003B0E61"/>
    <w:rsid w:val="003B0FD1"/>
    <w:rsid w:val="003B1478"/>
    <w:rsid w:val="003B2477"/>
    <w:rsid w:val="003B2883"/>
    <w:rsid w:val="003B3353"/>
    <w:rsid w:val="003B3792"/>
    <w:rsid w:val="003B3EFA"/>
    <w:rsid w:val="003B4668"/>
    <w:rsid w:val="003B519F"/>
    <w:rsid w:val="003B540F"/>
    <w:rsid w:val="003B58F3"/>
    <w:rsid w:val="003B5C0F"/>
    <w:rsid w:val="003C0B77"/>
    <w:rsid w:val="003C2307"/>
    <w:rsid w:val="003C259E"/>
    <w:rsid w:val="003C2A5E"/>
    <w:rsid w:val="003C2FBB"/>
    <w:rsid w:val="003C359D"/>
    <w:rsid w:val="003C3BD3"/>
    <w:rsid w:val="003C3E65"/>
    <w:rsid w:val="003C5A27"/>
    <w:rsid w:val="003D0021"/>
    <w:rsid w:val="003D204A"/>
    <w:rsid w:val="003D3B3C"/>
    <w:rsid w:val="003D5B58"/>
    <w:rsid w:val="003D7A44"/>
    <w:rsid w:val="003D7E0E"/>
    <w:rsid w:val="003E032A"/>
    <w:rsid w:val="003E096B"/>
    <w:rsid w:val="003E11CB"/>
    <w:rsid w:val="003E14DE"/>
    <w:rsid w:val="003E2D70"/>
    <w:rsid w:val="003E4794"/>
    <w:rsid w:val="003F0960"/>
    <w:rsid w:val="003F2963"/>
    <w:rsid w:val="003F42A1"/>
    <w:rsid w:val="003F4E89"/>
    <w:rsid w:val="003F50B6"/>
    <w:rsid w:val="003F561F"/>
    <w:rsid w:val="003F5F4A"/>
    <w:rsid w:val="003F62F3"/>
    <w:rsid w:val="003F741B"/>
    <w:rsid w:val="003F76F0"/>
    <w:rsid w:val="003F78BA"/>
    <w:rsid w:val="003F7CD2"/>
    <w:rsid w:val="003F7EE1"/>
    <w:rsid w:val="00400F2C"/>
    <w:rsid w:val="00401A58"/>
    <w:rsid w:val="0040331E"/>
    <w:rsid w:val="00403D2B"/>
    <w:rsid w:val="00406FD5"/>
    <w:rsid w:val="00410264"/>
    <w:rsid w:val="00410907"/>
    <w:rsid w:val="004116C3"/>
    <w:rsid w:val="004126FC"/>
    <w:rsid w:val="0041558E"/>
    <w:rsid w:val="00416DF2"/>
    <w:rsid w:val="004171C2"/>
    <w:rsid w:val="00420A87"/>
    <w:rsid w:val="0042123F"/>
    <w:rsid w:val="00421432"/>
    <w:rsid w:val="00421AF3"/>
    <w:rsid w:val="00422087"/>
    <w:rsid w:val="00422AD6"/>
    <w:rsid w:val="00423CAE"/>
    <w:rsid w:val="00423F97"/>
    <w:rsid w:val="00424133"/>
    <w:rsid w:val="00426DC2"/>
    <w:rsid w:val="00427207"/>
    <w:rsid w:val="00427996"/>
    <w:rsid w:val="00427DE7"/>
    <w:rsid w:val="004316EC"/>
    <w:rsid w:val="0043199A"/>
    <w:rsid w:val="00431C63"/>
    <w:rsid w:val="004322C4"/>
    <w:rsid w:val="00432F6E"/>
    <w:rsid w:val="00433053"/>
    <w:rsid w:val="0043316A"/>
    <w:rsid w:val="00433C71"/>
    <w:rsid w:val="00435306"/>
    <w:rsid w:val="0044011A"/>
    <w:rsid w:val="00441A81"/>
    <w:rsid w:val="00442106"/>
    <w:rsid w:val="004425C2"/>
    <w:rsid w:val="00442AA0"/>
    <w:rsid w:val="004441AA"/>
    <w:rsid w:val="004445C3"/>
    <w:rsid w:val="00447491"/>
    <w:rsid w:val="00447EE8"/>
    <w:rsid w:val="00451C40"/>
    <w:rsid w:val="004534F7"/>
    <w:rsid w:val="00453B53"/>
    <w:rsid w:val="004562F1"/>
    <w:rsid w:val="00456365"/>
    <w:rsid w:val="004566A4"/>
    <w:rsid w:val="00456EB2"/>
    <w:rsid w:val="00457835"/>
    <w:rsid w:val="00457EEA"/>
    <w:rsid w:val="004607F5"/>
    <w:rsid w:val="0046675C"/>
    <w:rsid w:val="00466A27"/>
    <w:rsid w:val="00466D4D"/>
    <w:rsid w:val="0046725B"/>
    <w:rsid w:val="004672A6"/>
    <w:rsid w:val="00470956"/>
    <w:rsid w:val="00470A85"/>
    <w:rsid w:val="004714DE"/>
    <w:rsid w:val="00473E35"/>
    <w:rsid w:val="00474B8E"/>
    <w:rsid w:val="004775C9"/>
    <w:rsid w:val="00477864"/>
    <w:rsid w:val="004801DE"/>
    <w:rsid w:val="004808D9"/>
    <w:rsid w:val="00480F0A"/>
    <w:rsid w:val="0048144F"/>
    <w:rsid w:val="004817DC"/>
    <w:rsid w:val="00481872"/>
    <w:rsid w:val="00482D0C"/>
    <w:rsid w:val="0048360F"/>
    <w:rsid w:val="0048435F"/>
    <w:rsid w:val="00484417"/>
    <w:rsid w:val="00485079"/>
    <w:rsid w:val="0048533B"/>
    <w:rsid w:val="004877C9"/>
    <w:rsid w:val="00487D2E"/>
    <w:rsid w:val="0049040C"/>
    <w:rsid w:val="00490887"/>
    <w:rsid w:val="0049190B"/>
    <w:rsid w:val="00491E6B"/>
    <w:rsid w:val="00494917"/>
    <w:rsid w:val="00496265"/>
    <w:rsid w:val="004965DB"/>
    <w:rsid w:val="0049676F"/>
    <w:rsid w:val="00496C17"/>
    <w:rsid w:val="00496CF5"/>
    <w:rsid w:val="004A0603"/>
    <w:rsid w:val="004A13A9"/>
    <w:rsid w:val="004A276B"/>
    <w:rsid w:val="004A2AE6"/>
    <w:rsid w:val="004A3566"/>
    <w:rsid w:val="004A4369"/>
    <w:rsid w:val="004A6F3E"/>
    <w:rsid w:val="004A727A"/>
    <w:rsid w:val="004B0040"/>
    <w:rsid w:val="004B2D1A"/>
    <w:rsid w:val="004B31CC"/>
    <w:rsid w:val="004B40DA"/>
    <w:rsid w:val="004B4EBD"/>
    <w:rsid w:val="004B66E4"/>
    <w:rsid w:val="004B7F76"/>
    <w:rsid w:val="004C0995"/>
    <w:rsid w:val="004C2637"/>
    <w:rsid w:val="004C3CC1"/>
    <w:rsid w:val="004C50E5"/>
    <w:rsid w:val="004C55F9"/>
    <w:rsid w:val="004D4BC4"/>
    <w:rsid w:val="004D55B4"/>
    <w:rsid w:val="004D6BAD"/>
    <w:rsid w:val="004E00C7"/>
    <w:rsid w:val="004E08C8"/>
    <w:rsid w:val="004E0D58"/>
    <w:rsid w:val="004E1118"/>
    <w:rsid w:val="004E26B3"/>
    <w:rsid w:val="004E314A"/>
    <w:rsid w:val="004E47B8"/>
    <w:rsid w:val="004E7142"/>
    <w:rsid w:val="004E7C26"/>
    <w:rsid w:val="004F1561"/>
    <w:rsid w:val="004F1FAB"/>
    <w:rsid w:val="004F284F"/>
    <w:rsid w:val="004F7201"/>
    <w:rsid w:val="004F7F34"/>
    <w:rsid w:val="00506DA4"/>
    <w:rsid w:val="00510191"/>
    <w:rsid w:val="00512907"/>
    <w:rsid w:val="005136E1"/>
    <w:rsid w:val="00513D7A"/>
    <w:rsid w:val="0051424C"/>
    <w:rsid w:val="0051466C"/>
    <w:rsid w:val="00514902"/>
    <w:rsid w:val="0051506B"/>
    <w:rsid w:val="00515D4B"/>
    <w:rsid w:val="0051645D"/>
    <w:rsid w:val="0051700F"/>
    <w:rsid w:val="0051708A"/>
    <w:rsid w:val="00517DEC"/>
    <w:rsid w:val="00520A1E"/>
    <w:rsid w:val="00521DBD"/>
    <w:rsid w:val="00522B43"/>
    <w:rsid w:val="00523510"/>
    <w:rsid w:val="00523EDF"/>
    <w:rsid w:val="005244C9"/>
    <w:rsid w:val="00525656"/>
    <w:rsid w:val="00525EE3"/>
    <w:rsid w:val="00530AE7"/>
    <w:rsid w:val="00531D2C"/>
    <w:rsid w:val="00532DA5"/>
    <w:rsid w:val="00534B4C"/>
    <w:rsid w:val="005353C8"/>
    <w:rsid w:val="00535E33"/>
    <w:rsid w:val="00535F5F"/>
    <w:rsid w:val="0053680D"/>
    <w:rsid w:val="00536E0C"/>
    <w:rsid w:val="005374CC"/>
    <w:rsid w:val="00537D96"/>
    <w:rsid w:val="005409A0"/>
    <w:rsid w:val="00541289"/>
    <w:rsid w:val="00541B6F"/>
    <w:rsid w:val="005429A3"/>
    <w:rsid w:val="005430DA"/>
    <w:rsid w:val="005436AF"/>
    <w:rsid w:val="00544A94"/>
    <w:rsid w:val="0054577F"/>
    <w:rsid w:val="00545A18"/>
    <w:rsid w:val="0054791A"/>
    <w:rsid w:val="00547CE8"/>
    <w:rsid w:val="00551923"/>
    <w:rsid w:val="00551CD4"/>
    <w:rsid w:val="0055234D"/>
    <w:rsid w:val="00552B0E"/>
    <w:rsid w:val="00552BEA"/>
    <w:rsid w:val="00553AE7"/>
    <w:rsid w:val="00553E0D"/>
    <w:rsid w:val="005555FF"/>
    <w:rsid w:val="0055633D"/>
    <w:rsid w:val="00561CA6"/>
    <w:rsid w:val="00561F58"/>
    <w:rsid w:val="00562048"/>
    <w:rsid w:val="005656F0"/>
    <w:rsid w:val="00570020"/>
    <w:rsid w:val="00571A06"/>
    <w:rsid w:val="00571A22"/>
    <w:rsid w:val="00572888"/>
    <w:rsid w:val="00572C2E"/>
    <w:rsid w:val="005747F3"/>
    <w:rsid w:val="005756E1"/>
    <w:rsid w:val="0057656A"/>
    <w:rsid w:val="00577B02"/>
    <w:rsid w:val="005803A9"/>
    <w:rsid w:val="0058063C"/>
    <w:rsid w:val="00583737"/>
    <w:rsid w:val="0058393C"/>
    <w:rsid w:val="005852E5"/>
    <w:rsid w:val="00586096"/>
    <w:rsid w:val="00586A23"/>
    <w:rsid w:val="00586E22"/>
    <w:rsid w:val="0059045C"/>
    <w:rsid w:val="00590832"/>
    <w:rsid w:val="005925FF"/>
    <w:rsid w:val="00593586"/>
    <w:rsid w:val="00593DA9"/>
    <w:rsid w:val="00594B1F"/>
    <w:rsid w:val="0059665D"/>
    <w:rsid w:val="00596E56"/>
    <w:rsid w:val="00597629"/>
    <w:rsid w:val="005A0ED6"/>
    <w:rsid w:val="005A10DB"/>
    <w:rsid w:val="005A19FD"/>
    <w:rsid w:val="005A2AF8"/>
    <w:rsid w:val="005A2CDF"/>
    <w:rsid w:val="005A59DC"/>
    <w:rsid w:val="005A6A1F"/>
    <w:rsid w:val="005A72F0"/>
    <w:rsid w:val="005B0B5C"/>
    <w:rsid w:val="005B194B"/>
    <w:rsid w:val="005B22F3"/>
    <w:rsid w:val="005B2EF2"/>
    <w:rsid w:val="005B2F2A"/>
    <w:rsid w:val="005B315A"/>
    <w:rsid w:val="005B33E2"/>
    <w:rsid w:val="005B4484"/>
    <w:rsid w:val="005B58B7"/>
    <w:rsid w:val="005B61A8"/>
    <w:rsid w:val="005B673A"/>
    <w:rsid w:val="005B6AEC"/>
    <w:rsid w:val="005C0AB8"/>
    <w:rsid w:val="005C0C3F"/>
    <w:rsid w:val="005C17AD"/>
    <w:rsid w:val="005C28F9"/>
    <w:rsid w:val="005C2F66"/>
    <w:rsid w:val="005C36B6"/>
    <w:rsid w:val="005C3EAA"/>
    <w:rsid w:val="005C4A42"/>
    <w:rsid w:val="005C678B"/>
    <w:rsid w:val="005C6DE8"/>
    <w:rsid w:val="005D05AF"/>
    <w:rsid w:val="005D0EC3"/>
    <w:rsid w:val="005D1417"/>
    <w:rsid w:val="005D3804"/>
    <w:rsid w:val="005D4392"/>
    <w:rsid w:val="005D513B"/>
    <w:rsid w:val="005D65D8"/>
    <w:rsid w:val="005E0280"/>
    <w:rsid w:val="005E09FD"/>
    <w:rsid w:val="005E4428"/>
    <w:rsid w:val="005E4556"/>
    <w:rsid w:val="005E55B7"/>
    <w:rsid w:val="005E5B6D"/>
    <w:rsid w:val="005E6622"/>
    <w:rsid w:val="005E6A2D"/>
    <w:rsid w:val="005E7BFB"/>
    <w:rsid w:val="005E7D99"/>
    <w:rsid w:val="005E7DC7"/>
    <w:rsid w:val="005F0501"/>
    <w:rsid w:val="005F07C7"/>
    <w:rsid w:val="005F701B"/>
    <w:rsid w:val="005F78E3"/>
    <w:rsid w:val="006000B0"/>
    <w:rsid w:val="0060012C"/>
    <w:rsid w:val="00600EF8"/>
    <w:rsid w:val="00601B18"/>
    <w:rsid w:val="006035F8"/>
    <w:rsid w:val="006036F3"/>
    <w:rsid w:val="00604865"/>
    <w:rsid w:val="00607344"/>
    <w:rsid w:val="00607C28"/>
    <w:rsid w:val="00607ED3"/>
    <w:rsid w:val="006104AA"/>
    <w:rsid w:val="00610E07"/>
    <w:rsid w:val="00611094"/>
    <w:rsid w:val="0061141A"/>
    <w:rsid w:val="006114EE"/>
    <w:rsid w:val="006120FD"/>
    <w:rsid w:val="0061274B"/>
    <w:rsid w:val="006157FD"/>
    <w:rsid w:val="00616510"/>
    <w:rsid w:val="006168FA"/>
    <w:rsid w:val="00616C97"/>
    <w:rsid w:val="006177FA"/>
    <w:rsid w:val="00617D4B"/>
    <w:rsid w:val="00620DDC"/>
    <w:rsid w:val="00621B05"/>
    <w:rsid w:val="006225D4"/>
    <w:rsid w:val="006229CF"/>
    <w:rsid w:val="00622A62"/>
    <w:rsid w:val="00623911"/>
    <w:rsid w:val="006252EF"/>
    <w:rsid w:val="00625A8C"/>
    <w:rsid w:val="00625BB7"/>
    <w:rsid w:val="00625FC0"/>
    <w:rsid w:val="00631603"/>
    <w:rsid w:val="00631F0F"/>
    <w:rsid w:val="00637156"/>
    <w:rsid w:val="0063722C"/>
    <w:rsid w:val="006413E6"/>
    <w:rsid w:val="00641406"/>
    <w:rsid w:val="00641810"/>
    <w:rsid w:val="006437BB"/>
    <w:rsid w:val="0064419C"/>
    <w:rsid w:val="00645AB2"/>
    <w:rsid w:val="00646320"/>
    <w:rsid w:val="00646F99"/>
    <w:rsid w:val="00647D48"/>
    <w:rsid w:val="00647E75"/>
    <w:rsid w:val="0065028D"/>
    <w:rsid w:val="00650FA6"/>
    <w:rsid w:val="0065262A"/>
    <w:rsid w:val="00652849"/>
    <w:rsid w:val="00654E95"/>
    <w:rsid w:val="006576DF"/>
    <w:rsid w:val="00661011"/>
    <w:rsid w:val="0066222A"/>
    <w:rsid w:val="006633E3"/>
    <w:rsid w:val="00663DB0"/>
    <w:rsid w:val="00665AB6"/>
    <w:rsid w:val="00665B8F"/>
    <w:rsid w:val="00666DC9"/>
    <w:rsid w:val="006671C9"/>
    <w:rsid w:val="0066791D"/>
    <w:rsid w:val="006703F7"/>
    <w:rsid w:val="00670A93"/>
    <w:rsid w:val="00672067"/>
    <w:rsid w:val="006728D9"/>
    <w:rsid w:val="0067704D"/>
    <w:rsid w:val="006774E6"/>
    <w:rsid w:val="0068007C"/>
    <w:rsid w:val="00680ADE"/>
    <w:rsid w:val="00680CDD"/>
    <w:rsid w:val="00682487"/>
    <w:rsid w:val="006839D6"/>
    <w:rsid w:val="0068602F"/>
    <w:rsid w:val="00686105"/>
    <w:rsid w:val="006863FF"/>
    <w:rsid w:val="00686D86"/>
    <w:rsid w:val="00687B7A"/>
    <w:rsid w:val="00687F93"/>
    <w:rsid w:val="0069036E"/>
    <w:rsid w:val="00690B79"/>
    <w:rsid w:val="00690F54"/>
    <w:rsid w:val="00691E0E"/>
    <w:rsid w:val="00696475"/>
    <w:rsid w:val="00696655"/>
    <w:rsid w:val="00696FB4"/>
    <w:rsid w:val="00697774"/>
    <w:rsid w:val="00697B9E"/>
    <w:rsid w:val="006A0457"/>
    <w:rsid w:val="006A1FEF"/>
    <w:rsid w:val="006A2243"/>
    <w:rsid w:val="006A4357"/>
    <w:rsid w:val="006A4456"/>
    <w:rsid w:val="006A4B01"/>
    <w:rsid w:val="006A53C3"/>
    <w:rsid w:val="006A5693"/>
    <w:rsid w:val="006A704A"/>
    <w:rsid w:val="006B101A"/>
    <w:rsid w:val="006B307D"/>
    <w:rsid w:val="006B4455"/>
    <w:rsid w:val="006B4BBF"/>
    <w:rsid w:val="006B6763"/>
    <w:rsid w:val="006C0367"/>
    <w:rsid w:val="006C10F0"/>
    <w:rsid w:val="006C14FC"/>
    <w:rsid w:val="006C1690"/>
    <w:rsid w:val="006C1DBE"/>
    <w:rsid w:val="006C2318"/>
    <w:rsid w:val="006C39CB"/>
    <w:rsid w:val="006C3E9D"/>
    <w:rsid w:val="006C45A8"/>
    <w:rsid w:val="006C7534"/>
    <w:rsid w:val="006D2A8E"/>
    <w:rsid w:val="006D4306"/>
    <w:rsid w:val="006D4FDA"/>
    <w:rsid w:val="006D56F7"/>
    <w:rsid w:val="006D765B"/>
    <w:rsid w:val="006D7A00"/>
    <w:rsid w:val="006E15FE"/>
    <w:rsid w:val="006E344D"/>
    <w:rsid w:val="006E3DFA"/>
    <w:rsid w:val="006E4E76"/>
    <w:rsid w:val="006E74F8"/>
    <w:rsid w:val="006F268D"/>
    <w:rsid w:val="006F26F1"/>
    <w:rsid w:val="006F28B3"/>
    <w:rsid w:val="006F5415"/>
    <w:rsid w:val="006F5501"/>
    <w:rsid w:val="006F5986"/>
    <w:rsid w:val="006F672D"/>
    <w:rsid w:val="006F6DC2"/>
    <w:rsid w:val="006F79D9"/>
    <w:rsid w:val="00700539"/>
    <w:rsid w:val="0070106E"/>
    <w:rsid w:val="007016B7"/>
    <w:rsid w:val="00702D64"/>
    <w:rsid w:val="007031F0"/>
    <w:rsid w:val="0070435F"/>
    <w:rsid w:val="0070753A"/>
    <w:rsid w:val="00707B49"/>
    <w:rsid w:val="0071502E"/>
    <w:rsid w:val="007152B1"/>
    <w:rsid w:val="007221E3"/>
    <w:rsid w:val="0072292C"/>
    <w:rsid w:val="007237A2"/>
    <w:rsid w:val="00723C30"/>
    <w:rsid w:val="00724B8E"/>
    <w:rsid w:val="00726674"/>
    <w:rsid w:val="00727047"/>
    <w:rsid w:val="00727B59"/>
    <w:rsid w:val="007300B3"/>
    <w:rsid w:val="007304CE"/>
    <w:rsid w:val="0073086D"/>
    <w:rsid w:val="00731C22"/>
    <w:rsid w:val="0073223E"/>
    <w:rsid w:val="00732743"/>
    <w:rsid w:val="00734A06"/>
    <w:rsid w:val="007361AD"/>
    <w:rsid w:val="00737977"/>
    <w:rsid w:val="00740012"/>
    <w:rsid w:val="007413C7"/>
    <w:rsid w:val="00741C6E"/>
    <w:rsid w:val="00741D61"/>
    <w:rsid w:val="007442AA"/>
    <w:rsid w:val="007454CB"/>
    <w:rsid w:val="00745CD3"/>
    <w:rsid w:val="0074606D"/>
    <w:rsid w:val="007518DF"/>
    <w:rsid w:val="00751EE3"/>
    <w:rsid w:val="0075272E"/>
    <w:rsid w:val="00753C0B"/>
    <w:rsid w:val="00753C2E"/>
    <w:rsid w:val="00754B72"/>
    <w:rsid w:val="0075775F"/>
    <w:rsid w:val="00757B1F"/>
    <w:rsid w:val="00757E79"/>
    <w:rsid w:val="00760870"/>
    <w:rsid w:val="00760AE1"/>
    <w:rsid w:val="0076150A"/>
    <w:rsid w:val="00763363"/>
    <w:rsid w:val="007634B7"/>
    <w:rsid w:val="00764C3E"/>
    <w:rsid w:val="00765024"/>
    <w:rsid w:val="0076624C"/>
    <w:rsid w:val="00766789"/>
    <w:rsid w:val="007679A9"/>
    <w:rsid w:val="00767BD1"/>
    <w:rsid w:val="007705E9"/>
    <w:rsid w:val="007758B5"/>
    <w:rsid w:val="00777EE6"/>
    <w:rsid w:val="00780126"/>
    <w:rsid w:val="007803D4"/>
    <w:rsid w:val="00780598"/>
    <w:rsid w:val="00780DCB"/>
    <w:rsid w:val="00780E44"/>
    <w:rsid w:val="0078114C"/>
    <w:rsid w:val="0078252F"/>
    <w:rsid w:val="00782EDF"/>
    <w:rsid w:val="00784344"/>
    <w:rsid w:val="007865E4"/>
    <w:rsid w:val="0078714D"/>
    <w:rsid w:val="00787A6D"/>
    <w:rsid w:val="007921E9"/>
    <w:rsid w:val="0079411D"/>
    <w:rsid w:val="00796B4B"/>
    <w:rsid w:val="007A042F"/>
    <w:rsid w:val="007A0579"/>
    <w:rsid w:val="007A2C68"/>
    <w:rsid w:val="007A3AC9"/>
    <w:rsid w:val="007A3F81"/>
    <w:rsid w:val="007A41AC"/>
    <w:rsid w:val="007A4C49"/>
    <w:rsid w:val="007A4DA4"/>
    <w:rsid w:val="007A5A2B"/>
    <w:rsid w:val="007A6989"/>
    <w:rsid w:val="007B007C"/>
    <w:rsid w:val="007B18C4"/>
    <w:rsid w:val="007B2622"/>
    <w:rsid w:val="007B2F6C"/>
    <w:rsid w:val="007B48FF"/>
    <w:rsid w:val="007B4C40"/>
    <w:rsid w:val="007B4E9C"/>
    <w:rsid w:val="007B51A7"/>
    <w:rsid w:val="007B67A2"/>
    <w:rsid w:val="007B75C1"/>
    <w:rsid w:val="007B77D5"/>
    <w:rsid w:val="007B7ACF"/>
    <w:rsid w:val="007B7C34"/>
    <w:rsid w:val="007C2BCE"/>
    <w:rsid w:val="007C2E7B"/>
    <w:rsid w:val="007C3FA3"/>
    <w:rsid w:val="007C556D"/>
    <w:rsid w:val="007C5FF8"/>
    <w:rsid w:val="007C792D"/>
    <w:rsid w:val="007D2150"/>
    <w:rsid w:val="007D2909"/>
    <w:rsid w:val="007D2FCD"/>
    <w:rsid w:val="007D314E"/>
    <w:rsid w:val="007D5ECD"/>
    <w:rsid w:val="007D6973"/>
    <w:rsid w:val="007D7C52"/>
    <w:rsid w:val="007E0687"/>
    <w:rsid w:val="007E0C28"/>
    <w:rsid w:val="007E0F82"/>
    <w:rsid w:val="007E26D2"/>
    <w:rsid w:val="007E30AA"/>
    <w:rsid w:val="007E5024"/>
    <w:rsid w:val="007E61A5"/>
    <w:rsid w:val="007E6417"/>
    <w:rsid w:val="007E6E1E"/>
    <w:rsid w:val="007F0272"/>
    <w:rsid w:val="007F0CEE"/>
    <w:rsid w:val="007F11E0"/>
    <w:rsid w:val="007F35DA"/>
    <w:rsid w:val="007F3F96"/>
    <w:rsid w:val="007F47F6"/>
    <w:rsid w:val="007F5FD6"/>
    <w:rsid w:val="007F7CA6"/>
    <w:rsid w:val="00800520"/>
    <w:rsid w:val="00800DC0"/>
    <w:rsid w:val="008014FA"/>
    <w:rsid w:val="0080304E"/>
    <w:rsid w:val="0080478D"/>
    <w:rsid w:val="00804A1D"/>
    <w:rsid w:val="008057F4"/>
    <w:rsid w:val="00805BDA"/>
    <w:rsid w:val="00805C86"/>
    <w:rsid w:val="008066F2"/>
    <w:rsid w:val="00807085"/>
    <w:rsid w:val="0081064F"/>
    <w:rsid w:val="0081330E"/>
    <w:rsid w:val="00813AEC"/>
    <w:rsid w:val="008147A7"/>
    <w:rsid w:val="00814EB1"/>
    <w:rsid w:val="00815672"/>
    <w:rsid w:val="00816BF8"/>
    <w:rsid w:val="00817240"/>
    <w:rsid w:val="00817508"/>
    <w:rsid w:val="00822120"/>
    <w:rsid w:val="0082239A"/>
    <w:rsid w:val="00822A3C"/>
    <w:rsid w:val="008239F6"/>
    <w:rsid w:val="00823F1D"/>
    <w:rsid w:val="00824D85"/>
    <w:rsid w:val="00826541"/>
    <w:rsid w:val="00826B97"/>
    <w:rsid w:val="00827DB5"/>
    <w:rsid w:val="008328B2"/>
    <w:rsid w:val="00832FCB"/>
    <w:rsid w:val="0083428B"/>
    <w:rsid w:val="00834819"/>
    <w:rsid w:val="00834826"/>
    <w:rsid w:val="00834DEC"/>
    <w:rsid w:val="00834E28"/>
    <w:rsid w:val="00835436"/>
    <w:rsid w:val="00835A0A"/>
    <w:rsid w:val="00835FF4"/>
    <w:rsid w:val="00837D85"/>
    <w:rsid w:val="00837E7F"/>
    <w:rsid w:val="00840585"/>
    <w:rsid w:val="008418ED"/>
    <w:rsid w:val="008423D2"/>
    <w:rsid w:val="0084354B"/>
    <w:rsid w:val="008440D1"/>
    <w:rsid w:val="00845AF2"/>
    <w:rsid w:val="00845FBB"/>
    <w:rsid w:val="008475D0"/>
    <w:rsid w:val="008479D2"/>
    <w:rsid w:val="00850103"/>
    <w:rsid w:val="00850DF5"/>
    <w:rsid w:val="008527E9"/>
    <w:rsid w:val="008558DC"/>
    <w:rsid w:val="00857042"/>
    <w:rsid w:val="008600B1"/>
    <w:rsid w:val="008632CA"/>
    <w:rsid w:val="00863B66"/>
    <w:rsid w:val="008644BD"/>
    <w:rsid w:val="00864B6B"/>
    <w:rsid w:val="00865506"/>
    <w:rsid w:val="0086583E"/>
    <w:rsid w:val="00866AD3"/>
    <w:rsid w:val="0086772A"/>
    <w:rsid w:val="00870882"/>
    <w:rsid w:val="008725D4"/>
    <w:rsid w:val="00872FC8"/>
    <w:rsid w:val="00873494"/>
    <w:rsid w:val="00873AFC"/>
    <w:rsid w:val="00874375"/>
    <w:rsid w:val="0087461F"/>
    <w:rsid w:val="00875604"/>
    <w:rsid w:val="00876739"/>
    <w:rsid w:val="00877471"/>
    <w:rsid w:val="00880B86"/>
    <w:rsid w:val="00880C9C"/>
    <w:rsid w:val="008811B7"/>
    <w:rsid w:val="00881360"/>
    <w:rsid w:val="0088150D"/>
    <w:rsid w:val="008823CE"/>
    <w:rsid w:val="0088240B"/>
    <w:rsid w:val="00882929"/>
    <w:rsid w:val="00882C65"/>
    <w:rsid w:val="00884266"/>
    <w:rsid w:val="00884F64"/>
    <w:rsid w:val="0088693A"/>
    <w:rsid w:val="00886C32"/>
    <w:rsid w:val="008874EC"/>
    <w:rsid w:val="0089040F"/>
    <w:rsid w:val="0089292A"/>
    <w:rsid w:val="008933EE"/>
    <w:rsid w:val="00893FFE"/>
    <w:rsid w:val="008941D5"/>
    <w:rsid w:val="008943A2"/>
    <w:rsid w:val="0089454B"/>
    <w:rsid w:val="00894662"/>
    <w:rsid w:val="0089472D"/>
    <w:rsid w:val="0089497C"/>
    <w:rsid w:val="008956C2"/>
    <w:rsid w:val="00895ED3"/>
    <w:rsid w:val="008965CA"/>
    <w:rsid w:val="00896A18"/>
    <w:rsid w:val="0089759B"/>
    <w:rsid w:val="008A0AF9"/>
    <w:rsid w:val="008A3327"/>
    <w:rsid w:val="008A33D0"/>
    <w:rsid w:val="008A344F"/>
    <w:rsid w:val="008A4C58"/>
    <w:rsid w:val="008A6825"/>
    <w:rsid w:val="008A7E3C"/>
    <w:rsid w:val="008B0CC7"/>
    <w:rsid w:val="008B19C2"/>
    <w:rsid w:val="008B2196"/>
    <w:rsid w:val="008B2569"/>
    <w:rsid w:val="008B55E1"/>
    <w:rsid w:val="008B6B60"/>
    <w:rsid w:val="008B72D3"/>
    <w:rsid w:val="008B7B3E"/>
    <w:rsid w:val="008C00CC"/>
    <w:rsid w:val="008C0707"/>
    <w:rsid w:val="008C0EFD"/>
    <w:rsid w:val="008C1228"/>
    <w:rsid w:val="008C3468"/>
    <w:rsid w:val="008C3918"/>
    <w:rsid w:val="008C5818"/>
    <w:rsid w:val="008C5B78"/>
    <w:rsid w:val="008C6A76"/>
    <w:rsid w:val="008C78EA"/>
    <w:rsid w:val="008C7F7D"/>
    <w:rsid w:val="008D27E3"/>
    <w:rsid w:val="008D283B"/>
    <w:rsid w:val="008D337B"/>
    <w:rsid w:val="008D346F"/>
    <w:rsid w:val="008D386D"/>
    <w:rsid w:val="008D3AA7"/>
    <w:rsid w:val="008D3F1D"/>
    <w:rsid w:val="008D5C22"/>
    <w:rsid w:val="008D62B4"/>
    <w:rsid w:val="008D7025"/>
    <w:rsid w:val="008D75F5"/>
    <w:rsid w:val="008E1DAD"/>
    <w:rsid w:val="008E1EE1"/>
    <w:rsid w:val="008E3CE4"/>
    <w:rsid w:val="008E4BF3"/>
    <w:rsid w:val="008E51E1"/>
    <w:rsid w:val="008E736D"/>
    <w:rsid w:val="008E74BA"/>
    <w:rsid w:val="008E7850"/>
    <w:rsid w:val="008F0484"/>
    <w:rsid w:val="008F0905"/>
    <w:rsid w:val="008F1124"/>
    <w:rsid w:val="008F14B5"/>
    <w:rsid w:val="008F1DF2"/>
    <w:rsid w:val="008F2B48"/>
    <w:rsid w:val="008F3653"/>
    <w:rsid w:val="008F406C"/>
    <w:rsid w:val="008F4B02"/>
    <w:rsid w:val="008F5FD5"/>
    <w:rsid w:val="008F7C15"/>
    <w:rsid w:val="009011E0"/>
    <w:rsid w:val="009012E8"/>
    <w:rsid w:val="00901698"/>
    <w:rsid w:val="00901F4B"/>
    <w:rsid w:val="00901FB1"/>
    <w:rsid w:val="00902B6A"/>
    <w:rsid w:val="00903BEE"/>
    <w:rsid w:val="009040B9"/>
    <w:rsid w:val="009045EC"/>
    <w:rsid w:val="00905CD0"/>
    <w:rsid w:val="00907C16"/>
    <w:rsid w:val="00907E88"/>
    <w:rsid w:val="0091074C"/>
    <w:rsid w:val="0091132E"/>
    <w:rsid w:val="00914DC0"/>
    <w:rsid w:val="00915527"/>
    <w:rsid w:val="009165D6"/>
    <w:rsid w:val="00916904"/>
    <w:rsid w:val="00916D36"/>
    <w:rsid w:val="00921252"/>
    <w:rsid w:val="00924090"/>
    <w:rsid w:val="00924FBF"/>
    <w:rsid w:val="0092791A"/>
    <w:rsid w:val="0093053D"/>
    <w:rsid w:val="009310D4"/>
    <w:rsid w:val="00931D93"/>
    <w:rsid w:val="00932566"/>
    <w:rsid w:val="00933FED"/>
    <w:rsid w:val="00934521"/>
    <w:rsid w:val="00934F79"/>
    <w:rsid w:val="0093531B"/>
    <w:rsid w:val="009357F6"/>
    <w:rsid w:val="00937BFC"/>
    <w:rsid w:val="009406B8"/>
    <w:rsid w:val="00941444"/>
    <w:rsid w:val="00941669"/>
    <w:rsid w:val="00941CCD"/>
    <w:rsid w:val="00942546"/>
    <w:rsid w:val="00942C98"/>
    <w:rsid w:val="009432C2"/>
    <w:rsid w:val="00943814"/>
    <w:rsid w:val="00944A42"/>
    <w:rsid w:val="00944BA8"/>
    <w:rsid w:val="0094623B"/>
    <w:rsid w:val="0095093A"/>
    <w:rsid w:val="009510D2"/>
    <w:rsid w:val="009516E2"/>
    <w:rsid w:val="00951984"/>
    <w:rsid w:val="0095285D"/>
    <w:rsid w:val="00952A65"/>
    <w:rsid w:val="00952C9A"/>
    <w:rsid w:val="00953484"/>
    <w:rsid w:val="0095468A"/>
    <w:rsid w:val="009554F1"/>
    <w:rsid w:val="00955790"/>
    <w:rsid w:val="00955C0A"/>
    <w:rsid w:val="009570CB"/>
    <w:rsid w:val="0095711E"/>
    <w:rsid w:val="009603D8"/>
    <w:rsid w:val="009608BA"/>
    <w:rsid w:val="00961134"/>
    <w:rsid w:val="009613C5"/>
    <w:rsid w:val="0096301D"/>
    <w:rsid w:val="0096324D"/>
    <w:rsid w:val="00964567"/>
    <w:rsid w:val="009649D2"/>
    <w:rsid w:val="00964D84"/>
    <w:rsid w:val="009662E4"/>
    <w:rsid w:val="00966446"/>
    <w:rsid w:val="0096798F"/>
    <w:rsid w:val="00970AC0"/>
    <w:rsid w:val="00970B2F"/>
    <w:rsid w:val="009735EA"/>
    <w:rsid w:val="00973ABD"/>
    <w:rsid w:val="00974968"/>
    <w:rsid w:val="00974D0F"/>
    <w:rsid w:val="009764B6"/>
    <w:rsid w:val="009766E8"/>
    <w:rsid w:val="0097704B"/>
    <w:rsid w:val="0097738A"/>
    <w:rsid w:val="00977EF8"/>
    <w:rsid w:val="009804F0"/>
    <w:rsid w:val="00981D4E"/>
    <w:rsid w:val="00982839"/>
    <w:rsid w:val="00984026"/>
    <w:rsid w:val="0098486A"/>
    <w:rsid w:val="00985145"/>
    <w:rsid w:val="009854F0"/>
    <w:rsid w:val="00985594"/>
    <w:rsid w:val="00985C33"/>
    <w:rsid w:val="00986919"/>
    <w:rsid w:val="00986C54"/>
    <w:rsid w:val="00990711"/>
    <w:rsid w:val="009939F3"/>
    <w:rsid w:val="00994366"/>
    <w:rsid w:val="0099469C"/>
    <w:rsid w:val="00994F3B"/>
    <w:rsid w:val="00995A96"/>
    <w:rsid w:val="00996CB8"/>
    <w:rsid w:val="00997007"/>
    <w:rsid w:val="009978A0"/>
    <w:rsid w:val="009A0147"/>
    <w:rsid w:val="009A1EE7"/>
    <w:rsid w:val="009A2F67"/>
    <w:rsid w:val="009A3044"/>
    <w:rsid w:val="009A49C1"/>
    <w:rsid w:val="009A4BFC"/>
    <w:rsid w:val="009A6E42"/>
    <w:rsid w:val="009A7CB5"/>
    <w:rsid w:val="009B1602"/>
    <w:rsid w:val="009B4BB2"/>
    <w:rsid w:val="009B4F37"/>
    <w:rsid w:val="009B6032"/>
    <w:rsid w:val="009B6D8D"/>
    <w:rsid w:val="009B6FBC"/>
    <w:rsid w:val="009B790B"/>
    <w:rsid w:val="009C0E8A"/>
    <w:rsid w:val="009C444D"/>
    <w:rsid w:val="009C5320"/>
    <w:rsid w:val="009C53E6"/>
    <w:rsid w:val="009C5A0A"/>
    <w:rsid w:val="009C799F"/>
    <w:rsid w:val="009D01CD"/>
    <w:rsid w:val="009D09A0"/>
    <w:rsid w:val="009D1304"/>
    <w:rsid w:val="009D3F1F"/>
    <w:rsid w:val="009D455C"/>
    <w:rsid w:val="009D535C"/>
    <w:rsid w:val="009D7461"/>
    <w:rsid w:val="009D7940"/>
    <w:rsid w:val="009E26DA"/>
    <w:rsid w:val="009E4738"/>
    <w:rsid w:val="009E4B27"/>
    <w:rsid w:val="009E5ED8"/>
    <w:rsid w:val="009E781B"/>
    <w:rsid w:val="009F299A"/>
    <w:rsid w:val="009F459E"/>
    <w:rsid w:val="009F5722"/>
    <w:rsid w:val="009F695E"/>
    <w:rsid w:val="00A01443"/>
    <w:rsid w:val="00A02571"/>
    <w:rsid w:val="00A06A46"/>
    <w:rsid w:val="00A10E59"/>
    <w:rsid w:val="00A115A4"/>
    <w:rsid w:val="00A12173"/>
    <w:rsid w:val="00A1232C"/>
    <w:rsid w:val="00A15AF7"/>
    <w:rsid w:val="00A20321"/>
    <w:rsid w:val="00A206F4"/>
    <w:rsid w:val="00A20FDA"/>
    <w:rsid w:val="00A223D3"/>
    <w:rsid w:val="00A2245D"/>
    <w:rsid w:val="00A22CCF"/>
    <w:rsid w:val="00A23094"/>
    <w:rsid w:val="00A230F9"/>
    <w:rsid w:val="00A23488"/>
    <w:rsid w:val="00A23C7D"/>
    <w:rsid w:val="00A23F5F"/>
    <w:rsid w:val="00A24509"/>
    <w:rsid w:val="00A258E2"/>
    <w:rsid w:val="00A25CED"/>
    <w:rsid w:val="00A26B59"/>
    <w:rsid w:val="00A3005F"/>
    <w:rsid w:val="00A32062"/>
    <w:rsid w:val="00A34369"/>
    <w:rsid w:val="00A34581"/>
    <w:rsid w:val="00A35C32"/>
    <w:rsid w:val="00A36C59"/>
    <w:rsid w:val="00A36F6C"/>
    <w:rsid w:val="00A37D52"/>
    <w:rsid w:val="00A41AB8"/>
    <w:rsid w:val="00A41DA2"/>
    <w:rsid w:val="00A42AF9"/>
    <w:rsid w:val="00A43160"/>
    <w:rsid w:val="00A43CA9"/>
    <w:rsid w:val="00A43EF1"/>
    <w:rsid w:val="00A455FB"/>
    <w:rsid w:val="00A456DB"/>
    <w:rsid w:val="00A45C15"/>
    <w:rsid w:val="00A45E38"/>
    <w:rsid w:val="00A46550"/>
    <w:rsid w:val="00A46E69"/>
    <w:rsid w:val="00A47E61"/>
    <w:rsid w:val="00A50164"/>
    <w:rsid w:val="00A50616"/>
    <w:rsid w:val="00A50CDE"/>
    <w:rsid w:val="00A51D61"/>
    <w:rsid w:val="00A526C7"/>
    <w:rsid w:val="00A52F0E"/>
    <w:rsid w:val="00A5343D"/>
    <w:rsid w:val="00A546EC"/>
    <w:rsid w:val="00A54977"/>
    <w:rsid w:val="00A55CF4"/>
    <w:rsid w:val="00A56937"/>
    <w:rsid w:val="00A56F1C"/>
    <w:rsid w:val="00A57682"/>
    <w:rsid w:val="00A60F68"/>
    <w:rsid w:val="00A614D4"/>
    <w:rsid w:val="00A65710"/>
    <w:rsid w:val="00A669CC"/>
    <w:rsid w:val="00A67E97"/>
    <w:rsid w:val="00A67F56"/>
    <w:rsid w:val="00A7072F"/>
    <w:rsid w:val="00A70CE5"/>
    <w:rsid w:val="00A70D21"/>
    <w:rsid w:val="00A71284"/>
    <w:rsid w:val="00A72608"/>
    <w:rsid w:val="00A72724"/>
    <w:rsid w:val="00A72D11"/>
    <w:rsid w:val="00A743FE"/>
    <w:rsid w:val="00A75D36"/>
    <w:rsid w:val="00A76BE1"/>
    <w:rsid w:val="00A76DFC"/>
    <w:rsid w:val="00A77463"/>
    <w:rsid w:val="00A8134D"/>
    <w:rsid w:val="00A81551"/>
    <w:rsid w:val="00A819C6"/>
    <w:rsid w:val="00A81D72"/>
    <w:rsid w:val="00A8297B"/>
    <w:rsid w:val="00A83819"/>
    <w:rsid w:val="00A843EA"/>
    <w:rsid w:val="00A844BF"/>
    <w:rsid w:val="00A84ACC"/>
    <w:rsid w:val="00A85237"/>
    <w:rsid w:val="00A86190"/>
    <w:rsid w:val="00A86B47"/>
    <w:rsid w:val="00A86F53"/>
    <w:rsid w:val="00A873BA"/>
    <w:rsid w:val="00A90799"/>
    <w:rsid w:val="00A9367A"/>
    <w:rsid w:val="00A9482B"/>
    <w:rsid w:val="00A94B5F"/>
    <w:rsid w:val="00A94BE6"/>
    <w:rsid w:val="00A94DD8"/>
    <w:rsid w:val="00A95F82"/>
    <w:rsid w:val="00A96D0B"/>
    <w:rsid w:val="00A96FB2"/>
    <w:rsid w:val="00A97514"/>
    <w:rsid w:val="00A978D6"/>
    <w:rsid w:val="00A97A56"/>
    <w:rsid w:val="00A97DFC"/>
    <w:rsid w:val="00AA176F"/>
    <w:rsid w:val="00AA2013"/>
    <w:rsid w:val="00AA3275"/>
    <w:rsid w:val="00AA3981"/>
    <w:rsid w:val="00AA3A7F"/>
    <w:rsid w:val="00AA7DA4"/>
    <w:rsid w:val="00AB09F8"/>
    <w:rsid w:val="00AB2005"/>
    <w:rsid w:val="00AB324E"/>
    <w:rsid w:val="00AB3824"/>
    <w:rsid w:val="00AB4C16"/>
    <w:rsid w:val="00AB5F1D"/>
    <w:rsid w:val="00AB773F"/>
    <w:rsid w:val="00AC06C0"/>
    <w:rsid w:val="00AC3C49"/>
    <w:rsid w:val="00AC4935"/>
    <w:rsid w:val="00AC5A43"/>
    <w:rsid w:val="00AC600D"/>
    <w:rsid w:val="00AC63F6"/>
    <w:rsid w:val="00AC6574"/>
    <w:rsid w:val="00AC6E02"/>
    <w:rsid w:val="00AD1642"/>
    <w:rsid w:val="00AD1824"/>
    <w:rsid w:val="00AD200C"/>
    <w:rsid w:val="00AD3CC1"/>
    <w:rsid w:val="00AD436E"/>
    <w:rsid w:val="00AD4EF1"/>
    <w:rsid w:val="00AD6D22"/>
    <w:rsid w:val="00AD6D46"/>
    <w:rsid w:val="00AE033E"/>
    <w:rsid w:val="00AE208A"/>
    <w:rsid w:val="00AE2742"/>
    <w:rsid w:val="00AE2FD9"/>
    <w:rsid w:val="00AE367F"/>
    <w:rsid w:val="00AE57D7"/>
    <w:rsid w:val="00AE5BCE"/>
    <w:rsid w:val="00AE610E"/>
    <w:rsid w:val="00AE7B73"/>
    <w:rsid w:val="00AF12E8"/>
    <w:rsid w:val="00AF2434"/>
    <w:rsid w:val="00AF3160"/>
    <w:rsid w:val="00AF31A9"/>
    <w:rsid w:val="00AF366D"/>
    <w:rsid w:val="00AF482D"/>
    <w:rsid w:val="00AF52A0"/>
    <w:rsid w:val="00AF7DF8"/>
    <w:rsid w:val="00B019E9"/>
    <w:rsid w:val="00B029E0"/>
    <w:rsid w:val="00B055FD"/>
    <w:rsid w:val="00B05C7E"/>
    <w:rsid w:val="00B1097E"/>
    <w:rsid w:val="00B11986"/>
    <w:rsid w:val="00B129EA"/>
    <w:rsid w:val="00B12CC4"/>
    <w:rsid w:val="00B135D1"/>
    <w:rsid w:val="00B13C43"/>
    <w:rsid w:val="00B154A3"/>
    <w:rsid w:val="00B17442"/>
    <w:rsid w:val="00B17C9A"/>
    <w:rsid w:val="00B20B15"/>
    <w:rsid w:val="00B21310"/>
    <w:rsid w:val="00B2233E"/>
    <w:rsid w:val="00B224A8"/>
    <w:rsid w:val="00B22607"/>
    <w:rsid w:val="00B22CE9"/>
    <w:rsid w:val="00B233BA"/>
    <w:rsid w:val="00B25DEA"/>
    <w:rsid w:val="00B25F87"/>
    <w:rsid w:val="00B26160"/>
    <w:rsid w:val="00B2620B"/>
    <w:rsid w:val="00B2692F"/>
    <w:rsid w:val="00B26D30"/>
    <w:rsid w:val="00B27085"/>
    <w:rsid w:val="00B27AAE"/>
    <w:rsid w:val="00B30DC7"/>
    <w:rsid w:val="00B354CA"/>
    <w:rsid w:val="00B3619F"/>
    <w:rsid w:val="00B4131B"/>
    <w:rsid w:val="00B41611"/>
    <w:rsid w:val="00B41ADB"/>
    <w:rsid w:val="00B4382B"/>
    <w:rsid w:val="00B444C9"/>
    <w:rsid w:val="00B44CE2"/>
    <w:rsid w:val="00B47B69"/>
    <w:rsid w:val="00B5267C"/>
    <w:rsid w:val="00B5345D"/>
    <w:rsid w:val="00B5361D"/>
    <w:rsid w:val="00B54019"/>
    <w:rsid w:val="00B563C2"/>
    <w:rsid w:val="00B6041D"/>
    <w:rsid w:val="00B60749"/>
    <w:rsid w:val="00B60A02"/>
    <w:rsid w:val="00B6147B"/>
    <w:rsid w:val="00B62151"/>
    <w:rsid w:val="00B62BFD"/>
    <w:rsid w:val="00B6460D"/>
    <w:rsid w:val="00B646E5"/>
    <w:rsid w:val="00B647B4"/>
    <w:rsid w:val="00B64A81"/>
    <w:rsid w:val="00B64D62"/>
    <w:rsid w:val="00B64ED4"/>
    <w:rsid w:val="00B657CB"/>
    <w:rsid w:val="00B66216"/>
    <w:rsid w:val="00B704F8"/>
    <w:rsid w:val="00B71935"/>
    <w:rsid w:val="00B72DA7"/>
    <w:rsid w:val="00B72E17"/>
    <w:rsid w:val="00B741C3"/>
    <w:rsid w:val="00B75810"/>
    <w:rsid w:val="00B77A6F"/>
    <w:rsid w:val="00B77BD7"/>
    <w:rsid w:val="00B80CC4"/>
    <w:rsid w:val="00B80D7A"/>
    <w:rsid w:val="00B8191C"/>
    <w:rsid w:val="00B81C1E"/>
    <w:rsid w:val="00B823D0"/>
    <w:rsid w:val="00B826A0"/>
    <w:rsid w:val="00B82D3F"/>
    <w:rsid w:val="00B8321A"/>
    <w:rsid w:val="00B83F32"/>
    <w:rsid w:val="00B84839"/>
    <w:rsid w:val="00B864B1"/>
    <w:rsid w:val="00B86561"/>
    <w:rsid w:val="00B86C4E"/>
    <w:rsid w:val="00B87446"/>
    <w:rsid w:val="00B87FBE"/>
    <w:rsid w:val="00B90155"/>
    <w:rsid w:val="00B915C2"/>
    <w:rsid w:val="00B92D4A"/>
    <w:rsid w:val="00B93020"/>
    <w:rsid w:val="00B93317"/>
    <w:rsid w:val="00B93979"/>
    <w:rsid w:val="00B94A60"/>
    <w:rsid w:val="00B9633C"/>
    <w:rsid w:val="00B9656A"/>
    <w:rsid w:val="00BA1C87"/>
    <w:rsid w:val="00BA1E3B"/>
    <w:rsid w:val="00BA25D3"/>
    <w:rsid w:val="00BA3891"/>
    <w:rsid w:val="00BA4705"/>
    <w:rsid w:val="00BA5813"/>
    <w:rsid w:val="00BA6DA7"/>
    <w:rsid w:val="00BA796A"/>
    <w:rsid w:val="00BB3437"/>
    <w:rsid w:val="00BB5BD1"/>
    <w:rsid w:val="00BB6059"/>
    <w:rsid w:val="00BC0683"/>
    <w:rsid w:val="00BC0A3B"/>
    <w:rsid w:val="00BC29C7"/>
    <w:rsid w:val="00BC2F22"/>
    <w:rsid w:val="00BC5F5C"/>
    <w:rsid w:val="00BD15E4"/>
    <w:rsid w:val="00BD4649"/>
    <w:rsid w:val="00BD4FD5"/>
    <w:rsid w:val="00BD5285"/>
    <w:rsid w:val="00BE051F"/>
    <w:rsid w:val="00BE11EE"/>
    <w:rsid w:val="00BE1895"/>
    <w:rsid w:val="00BE227D"/>
    <w:rsid w:val="00BE3D53"/>
    <w:rsid w:val="00BE5183"/>
    <w:rsid w:val="00BE53D9"/>
    <w:rsid w:val="00BE5F21"/>
    <w:rsid w:val="00BE7A48"/>
    <w:rsid w:val="00BF00A2"/>
    <w:rsid w:val="00BF0CF8"/>
    <w:rsid w:val="00BF2BD2"/>
    <w:rsid w:val="00BF3A61"/>
    <w:rsid w:val="00BF3E8D"/>
    <w:rsid w:val="00BF417D"/>
    <w:rsid w:val="00BF42C2"/>
    <w:rsid w:val="00BF5D51"/>
    <w:rsid w:val="00BF693B"/>
    <w:rsid w:val="00C00D9E"/>
    <w:rsid w:val="00C0159E"/>
    <w:rsid w:val="00C0263C"/>
    <w:rsid w:val="00C028D1"/>
    <w:rsid w:val="00C02C65"/>
    <w:rsid w:val="00C033F6"/>
    <w:rsid w:val="00C060CF"/>
    <w:rsid w:val="00C109B4"/>
    <w:rsid w:val="00C11DFA"/>
    <w:rsid w:val="00C12486"/>
    <w:rsid w:val="00C12C22"/>
    <w:rsid w:val="00C135A6"/>
    <w:rsid w:val="00C152F3"/>
    <w:rsid w:val="00C156C4"/>
    <w:rsid w:val="00C15884"/>
    <w:rsid w:val="00C160ED"/>
    <w:rsid w:val="00C17579"/>
    <w:rsid w:val="00C22BE7"/>
    <w:rsid w:val="00C23C5C"/>
    <w:rsid w:val="00C241A9"/>
    <w:rsid w:val="00C245AE"/>
    <w:rsid w:val="00C2503F"/>
    <w:rsid w:val="00C26A09"/>
    <w:rsid w:val="00C27281"/>
    <w:rsid w:val="00C31407"/>
    <w:rsid w:val="00C318BA"/>
    <w:rsid w:val="00C322FE"/>
    <w:rsid w:val="00C34207"/>
    <w:rsid w:val="00C34598"/>
    <w:rsid w:val="00C347DF"/>
    <w:rsid w:val="00C40337"/>
    <w:rsid w:val="00C406CE"/>
    <w:rsid w:val="00C40D91"/>
    <w:rsid w:val="00C42963"/>
    <w:rsid w:val="00C432A5"/>
    <w:rsid w:val="00C4432B"/>
    <w:rsid w:val="00C44D82"/>
    <w:rsid w:val="00C4512F"/>
    <w:rsid w:val="00C46F34"/>
    <w:rsid w:val="00C474F0"/>
    <w:rsid w:val="00C51C54"/>
    <w:rsid w:val="00C51E4C"/>
    <w:rsid w:val="00C5290C"/>
    <w:rsid w:val="00C530F9"/>
    <w:rsid w:val="00C53117"/>
    <w:rsid w:val="00C56CBC"/>
    <w:rsid w:val="00C574A8"/>
    <w:rsid w:val="00C6179A"/>
    <w:rsid w:val="00C63AE1"/>
    <w:rsid w:val="00C63C42"/>
    <w:rsid w:val="00C64C07"/>
    <w:rsid w:val="00C65E03"/>
    <w:rsid w:val="00C66578"/>
    <w:rsid w:val="00C70025"/>
    <w:rsid w:val="00C714A7"/>
    <w:rsid w:val="00C72AA8"/>
    <w:rsid w:val="00C72FC5"/>
    <w:rsid w:val="00C73438"/>
    <w:rsid w:val="00C745B9"/>
    <w:rsid w:val="00C74C3F"/>
    <w:rsid w:val="00C7523E"/>
    <w:rsid w:val="00C75CF9"/>
    <w:rsid w:val="00C75EF4"/>
    <w:rsid w:val="00C77019"/>
    <w:rsid w:val="00C77EC8"/>
    <w:rsid w:val="00C8264B"/>
    <w:rsid w:val="00C82B8B"/>
    <w:rsid w:val="00C83219"/>
    <w:rsid w:val="00C844AC"/>
    <w:rsid w:val="00C8596B"/>
    <w:rsid w:val="00C86230"/>
    <w:rsid w:val="00C87808"/>
    <w:rsid w:val="00C87D03"/>
    <w:rsid w:val="00C91999"/>
    <w:rsid w:val="00C927E4"/>
    <w:rsid w:val="00C92B6E"/>
    <w:rsid w:val="00C9345F"/>
    <w:rsid w:val="00C94FAD"/>
    <w:rsid w:val="00C95DCE"/>
    <w:rsid w:val="00C968E3"/>
    <w:rsid w:val="00CA0497"/>
    <w:rsid w:val="00CA2C75"/>
    <w:rsid w:val="00CA2E91"/>
    <w:rsid w:val="00CA4014"/>
    <w:rsid w:val="00CA48B1"/>
    <w:rsid w:val="00CA5798"/>
    <w:rsid w:val="00CA754D"/>
    <w:rsid w:val="00CA7A43"/>
    <w:rsid w:val="00CB1226"/>
    <w:rsid w:val="00CB16C3"/>
    <w:rsid w:val="00CB4EE6"/>
    <w:rsid w:val="00CB526D"/>
    <w:rsid w:val="00CB5811"/>
    <w:rsid w:val="00CB583F"/>
    <w:rsid w:val="00CB6D7F"/>
    <w:rsid w:val="00CB76B6"/>
    <w:rsid w:val="00CC052A"/>
    <w:rsid w:val="00CC1DC9"/>
    <w:rsid w:val="00CC1EAD"/>
    <w:rsid w:val="00CC5872"/>
    <w:rsid w:val="00CC6DCF"/>
    <w:rsid w:val="00CC7BB7"/>
    <w:rsid w:val="00CD108A"/>
    <w:rsid w:val="00CD3B7C"/>
    <w:rsid w:val="00CD40B4"/>
    <w:rsid w:val="00CD5972"/>
    <w:rsid w:val="00CD719C"/>
    <w:rsid w:val="00CE058C"/>
    <w:rsid w:val="00CE0B3C"/>
    <w:rsid w:val="00CE119B"/>
    <w:rsid w:val="00CE2640"/>
    <w:rsid w:val="00CE29FA"/>
    <w:rsid w:val="00CE3026"/>
    <w:rsid w:val="00CE34D3"/>
    <w:rsid w:val="00CE34D4"/>
    <w:rsid w:val="00CE3639"/>
    <w:rsid w:val="00CE4840"/>
    <w:rsid w:val="00CE5CCF"/>
    <w:rsid w:val="00CE7358"/>
    <w:rsid w:val="00CE779F"/>
    <w:rsid w:val="00CE7A93"/>
    <w:rsid w:val="00CF0468"/>
    <w:rsid w:val="00CF2AAB"/>
    <w:rsid w:val="00CF3DBA"/>
    <w:rsid w:val="00CF53CE"/>
    <w:rsid w:val="00CF7480"/>
    <w:rsid w:val="00CF76FC"/>
    <w:rsid w:val="00CF78C7"/>
    <w:rsid w:val="00D001AA"/>
    <w:rsid w:val="00D005E2"/>
    <w:rsid w:val="00D01953"/>
    <w:rsid w:val="00D02067"/>
    <w:rsid w:val="00D03E82"/>
    <w:rsid w:val="00D04033"/>
    <w:rsid w:val="00D0602A"/>
    <w:rsid w:val="00D072EE"/>
    <w:rsid w:val="00D07AF3"/>
    <w:rsid w:val="00D158E7"/>
    <w:rsid w:val="00D15AC7"/>
    <w:rsid w:val="00D1751E"/>
    <w:rsid w:val="00D17547"/>
    <w:rsid w:val="00D17F9D"/>
    <w:rsid w:val="00D2097A"/>
    <w:rsid w:val="00D20CE3"/>
    <w:rsid w:val="00D21525"/>
    <w:rsid w:val="00D22221"/>
    <w:rsid w:val="00D23B92"/>
    <w:rsid w:val="00D32C19"/>
    <w:rsid w:val="00D34874"/>
    <w:rsid w:val="00D36723"/>
    <w:rsid w:val="00D37507"/>
    <w:rsid w:val="00D37B9D"/>
    <w:rsid w:val="00D40525"/>
    <w:rsid w:val="00D40A4B"/>
    <w:rsid w:val="00D40F47"/>
    <w:rsid w:val="00D416C1"/>
    <w:rsid w:val="00D41852"/>
    <w:rsid w:val="00D43CB4"/>
    <w:rsid w:val="00D453C2"/>
    <w:rsid w:val="00D45F8E"/>
    <w:rsid w:val="00D469CB"/>
    <w:rsid w:val="00D47B8D"/>
    <w:rsid w:val="00D5067D"/>
    <w:rsid w:val="00D50768"/>
    <w:rsid w:val="00D5129E"/>
    <w:rsid w:val="00D52469"/>
    <w:rsid w:val="00D5595F"/>
    <w:rsid w:val="00D57415"/>
    <w:rsid w:val="00D5798C"/>
    <w:rsid w:val="00D60EAB"/>
    <w:rsid w:val="00D61D3A"/>
    <w:rsid w:val="00D631B6"/>
    <w:rsid w:val="00D63577"/>
    <w:rsid w:val="00D644B7"/>
    <w:rsid w:val="00D6643B"/>
    <w:rsid w:val="00D66DE9"/>
    <w:rsid w:val="00D7107C"/>
    <w:rsid w:val="00D71373"/>
    <w:rsid w:val="00D729D1"/>
    <w:rsid w:val="00D736FD"/>
    <w:rsid w:val="00D74066"/>
    <w:rsid w:val="00D7509E"/>
    <w:rsid w:val="00D7649A"/>
    <w:rsid w:val="00D7787D"/>
    <w:rsid w:val="00D779AF"/>
    <w:rsid w:val="00D807CD"/>
    <w:rsid w:val="00D812B5"/>
    <w:rsid w:val="00D81A26"/>
    <w:rsid w:val="00D828DD"/>
    <w:rsid w:val="00D82CE1"/>
    <w:rsid w:val="00D8309A"/>
    <w:rsid w:val="00D86639"/>
    <w:rsid w:val="00D87224"/>
    <w:rsid w:val="00D879DA"/>
    <w:rsid w:val="00D87AEB"/>
    <w:rsid w:val="00D90156"/>
    <w:rsid w:val="00D912C4"/>
    <w:rsid w:val="00D91BA4"/>
    <w:rsid w:val="00D92671"/>
    <w:rsid w:val="00D93B40"/>
    <w:rsid w:val="00D943E8"/>
    <w:rsid w:val="00D95256"/>
    <w:rsid w:val="00D95B46"/>
    <w:rsid w:val="00D95DCD"/>
    <w:rsid w:val="00D962AD"/>
    <w:rsid w:val="00D96383"/>
    <w:rsid w:val="00D97288"/>
    <w:rsid w:val="00D975E0"/>
    <w:rsid w:val="00D97A4E"/>
    <w:rsid w:val="00DA3A46"/>
    <w:rsid w:val="00DA7138"/>
    <w:rsid w:val="00DA7145"/>
    <w:rsid w:val="00DB0CB9"/>
    <w:rsid w:val="00DB315E"/>
    <w:rsid w:val="00DB3924"/>
    <w:rsid w:val="00DB399F"/>
    <w:rsid w:val="00DB47CF"/>
    <w:rsid w:val="00DB5F78"/>
    <w:rsid w:val="00DB62BA"/>
    <w:rsid w:val="00DB62EE"/>
    <w:rsid w:val="00DB6A6C"/>
    <w:rsid w:val="00DB6F6A"/>
    <w:rsid w:val="00DB7A8E"/>
    <w:rsid w:val="00DC0558"/>
    <w:rsid w:val="00DC085E"/>
    <w:rsid w:val="00DC0EB8"/>
    <w:rsid w:val="00DC438B"/>
    <w:rsid w:val="00DC4F60"/>
    <w:rsid w:val="00DC6072"/>
    <w:rsid w:val="00DC693A"/>
    <w:rsid w:val="00DC7AF1"/>
    <w:rsid w:val="00DD021B"/>
    <w:rsid w:val="00DD215E"/>
    <w:rsid w:val="00DD2884"/>
    <w:rsid w:val="00DD32A9"/>
    <w:rsid w:val="00DD3E86"/>
    <w:rsid w:val="00DD57FA"/>
    <w:rsid w:val="00DD5A16"/>
    <w:rsid w:val="00DD5E42"/>
    <w:rsid w:val="00DD62AA"/>
    <w:rsid w:val="00DD62BA"/>
    <w:rsid w:val="00DD6CCA"/>
    <w:rsid w:val="00DD6D7B"/>
    <w:rsid w:val="00DD6DE2"/>
    <w:rsid w:val="00DD6E2A"/>
    <w:rsid w:val="00DE0003"/>
    <w:rsid w:val="00DE0542"/>
    <w:rsid w:val="00DE0A51"/>
    <w:rsid w:val="00DE0A65"/>
    <w:rsid w:val="00DE0ADB"/>
    <w:rsid w:val="00DE1ACF"/>
    <w:rsid w:val="00DE1CF1"/>
    <w:rsid w:val="00DE20C6"/>
    <w:rsid w:val="00DE3501"/>
    <w:rsid w:val="00DE389F"/>
    <w:rsid w:val="00DE3A20"/>
    <w:rsid w:val="00DE509A"/>
    <w:rsid w:val="00DE594C"/>
    <w:rsid w:val="00DE7DF9"/>
    <w:rsid w:val="00DF31D7"/>
    <w:rsid w:val="00DF4AEA"/>
    <w:rsid w:val="00DF5E9B"/>
    <w:rsid w:val="00DF5EB8"/>
    <w:rsid w:val="00DF60EB"/>
    <w:rsid w:val="00DF6424"/>
    <w:rsid w:val="00DF6CCA"/>
    <w:rsid w:val="00DF7DD3"/>
    <w:rsid w:val="00E00C95"/>
    <w:rsid w:val="00E0111C"/>
    <w:rsid w:val="00E0145A"/>
    <w:rsid w:val="00E02680"/>
    <w:rsid w:val="00E02C69"/>
    <w:rsid w:val="00E02E9B"/>
    <w:rsid w:val="00E042E4"/>
    <w:rsid w:val="00E04460"/>
    <w:rsid w:val="00E04900"/>
    <w:rsid w:val="00E04D4B"/>
    <w:rsid w:val="00E0564A"/>
    <w:rsid w:val="00E05F26"/>
    <w:rsid w:val="00E1022D"/>
    <w:rsid w:val="00E128C0"/>
    <w:rsid w:val="00E1384F"/>
    <w:rsid w:val="00E13AD3"/>
    <w:rsid w:val="00E1560A"/>
    <w:rsid w:val="00E15910"/>
    <w:rsid w:val="00E160CF"/>
    <w:rsid w:val="00E16965"/>
    <w:rsid w:val="00E16E8D"/>
    <w:rsid w:val="00E17479"/>
    <w:rsid w:val="00E1799A"/>
    <w:rsid w:val="00E17FA9"/>
    <w:rsid w:val="00E2006B"/>
    <w:rsid w:val="00E201D1"/>
    <w:rsid w:val="00E2031B"/>
    <w:rsid w:val="00E203A9"/>
    <w:rsid w:val="00E21859"/>
    <w:rsid w:val="00E22626"/>
    <w:rsid w:val="00E23EB4"/>
    <w:rsid w:val="00E24402"/>
    <w:rsid w:val="00E24897"/>
    <w:rsid w:val="00E254F0"/>
    <w:rsid w:val="00E25AFE"/>
    <w:rsid w:val="00E26A4E"/>
    <w:rsid w:val="00E279D8"/>
    <w:rsid w:val="00E3011C"/>
    <w:rsid w:val="00E3049C"/>
    <w:rsid w:val="00E30C21"/>
    <w:rsid w:val="00E318A2"/>
    <w:rsid w:val="00E31F1B"/>
    <w:rsid w:val="00E327FE"/>
    <w:rsid w:val="00E33294"/>
    <w:rsid w:val="00E34A4A"/>
    <w:rsid w:val="00E35CC8"/>
    <w:rsid w:val="00E36563"/>
    <w:rsid w:val="00E377FC"/>
    <w:rsid w:val="00E37F83"/>
    <w:rsid w:val="00E419E5"/>
    <w:rsid w:val="00E434BC"/>
    <w:rsid w:val="00E44008"/>
    <w:rsid w:val="00E44BC5"/>
    <w:rsid w:val="00E44CD4"/>
    <w:rsid w:val="00E44EFC"/>
    <w:rsid w:val="00E45891"/>
    <w:rsid w:val="00E45AF7"/>
    <w:rsid w:val="00E467DB"/>
    <w:rsid w:val="00E46BFA"/>
    <w:rsid w:val="00E47857"/>
    <w:rsid w:val="00E50A05"/>
    <w:rsid w:val="00E514AD"/>
    <w:rsid w:val="00E531A8"/>
    <w:rsid w:val="00E549FC"/>
    <w:rsid w:val="00E55E45"/>
    <w:rsid w:val="00E607B3"/>
    <w:rsid w:val="00E60890"/>
    <w:rsid w:val="00E609B9"/>
    <w:rsid w:val="00E617FF"/>
    <w:rsid w:val="00E61AB7"/>
    <w:rsid w:val="00E63D7C"/>
    <w:rsid w:val="00E64E05"/>
    <w:rsid w:val="00E658FF"/>
    <w:rsid w:val="00E66272"/>
    <w:rsid w:val="00E66B2F"/>
    <w:rsid w:val="00E66BAC"/>
    <w:rsid w:val="00E70EA9"/>
    <w:rsid w:val="00E71416"/>
    <w:rsid w:val="00E7160E"/>
    <w:rsid w:val="00E73BE2"/>
    <w:rsid w:val="00E7444F"/>
    <w:rsid w:val="00E748F2"/>
    <w:rsid w:val="00E7679B"/>
    <w:rsid w:val="00E77526"/>
    <w:rsid w:val="00E806AF"/>
    <w:rsid w:val="00E81DA3"/>
    <w:rsid w:val="00E81F77"/>
    <w:rsid w:val="00E832CA"/>
    <w:rsid w:val="00E83959"/>
    <w:rsid w:val="00E8420B"/>
    <w:rsid w:val="00E84B62"/>
    <w:rsid w:val="00E867CE"/>
    <w:rsid w:val="00E86E61"/>
    <w:rsid w:val="00E87484"/>
    <w:rsid w:val="00E87F3B"/>
    <w:rsid w:val="00E90AE7"/>
    <w:rsid w:val="00E911EB"/>
    <w:rsid w:val="00E927B2"/>
    <w:rsid w:val="00E93B35"/>
    <w:rsid w:val="00E94F85"/>
    <w:rsid w:val="00E95316"/>
    <w:rsid w:val="00E95FF1"/>
    <w:rsid w:val="00E96680"/>
    <w:rsid w:val="00EA0B83"/>
    <w:rsid w:val="00EA17B5"/>
    <w:rsid w:val="00EA1CE2"/>
    <w:rsid w:val="00EA1EFE"/>
    <w:rsid w:val="00EA2523"/>
    <w:rsid w:val="00EA267E"/>
    <w:rsid w:val="00EA390C"/>
    <w:rsid w:val="00EA4567"/>
    <w:rsid w:val="00EA58CF"/>
    <w:rsid w:val="00EA765F"/>
    <w:rsid w:val="00EB02DD"/>
    <w:rsid w:val="00EB3824"/>
    <w:rsid w:val="00EB3A06"/>
    <w:rsid w:val="00EB3AAC"/>
    <w:rsid w:val="00EB4688"/>
    <w:rsid w:val="00EB5762"/>
    <w:rsid w:val="00EB5A3F"/>
    <w:rsid w:val="00EB5E20"/>
    <w:rsid w:val="00EB77E6"/>
    <w:rsid w:val="00EB7A39"/>
    <w:rsid w:val="00EB7C1A"/>
    <w:rsid w:val="00EC13D5"/>
    <w:rsid w:val="00EC24F1"/>
    <w:rsid w:val="00EC555D"/>
    <w:rsid w:val="00EC58BD"/>
    <w:rsid w:val="00EC620B"/>
    <w:rsid w:val="00EC6E25"/>
    <w:rsid w:val="00EC764C"/>
    <w:rsid w:val="00ED0537"/>
    <w:rsid w:val="00ED31D3"/>
    <w:rsid w:val="00ED33F3"/>
    <w:rsid w:val="00ED3D77"/>
    <w:rsid w:val="00ED5A01"/>
    <w:rsid w:val="00ED62DA"/>
    <w:rsid w:val="00ED680F"/>
    <w:rsid w:val="00EE102F"/>
    <w:rsid w:val="00EE2BE9"/>
    <w:rsid w:val="00EE5E7F"/>
    <w:rsid w:val="00EE6691"/>
    <w:rsid w:val="00EE71EF"/>
    <w:rsid w:val="00EE7C6B"/>
    <w:rsid w:val="00EF0325"/>
    <w:rsid w:val="00EF4D64"/>
    <w:rsid w:val="00EF5738"/>
    <w:rsid w:val="00EF5F4A"/>
    <w:rsid w:val="00EF6FB6"/>
    <w:rsid w:val="00EF7CF1"/>
    <w:rsid w:val="00F015C0"/>
    <w:rsid w:val="00F01692"/>
    <w:rsid w:val="00F034CC"/>
    <w:rsid w:val="00F046CC"/>
    <w:rsid w:val="00F04FBB"/>
    <w:rsid w:val="00F05491"/>
    <w:rsid w:val="00F105CA"/>
    <w:rsid w:val="00F11FD9"/>
    <w:rsid w:val="00F13090"/>
    <w:rsid w:val="00F13699"/>
    <w:rsid w:val="00F13BF6"/>
    <w:rsid w:val="00F14307"/>
    <w:rsid w:val="00F15197"/>
    <w:rsid w:val="00F15631"/>
    <w:rsid w:val="00F156E4"/>
    <w:rsid w:val="00F17228"/>
    <w:rsid w:val="00F20467"/>
    <w:rsid w:val="00F2230F"/>
    <w:rsid w:val="00F22557"/>
    <w:rsid w:val="00F22B80"/>
    <w:rsid w:val="00F257BD"/>
    <w:rsid w:val="00F264B5"/>
    <w:rsid w:val="00F267B6"/>
    <w:rsid w:val="00F275FD"/>
    <w:rsid w:val="00F31158"/>
    <w:rsid w:val="00F332F6"/>
    <w:rsid w:val="00F33AE4"/>
    <w:rsid w:val="00F3474B"/>
    <w:rsid w:val="00F3514A"/>
    <w:rsid w:val="00F37445"/>
    <w:rsid w:val="00F4044A"/>
    <w:rsid w:val="00F40809"/>
    <w:rsid w:val="00F40823"/>
    <w:rsid w:val="00F438AD"/>
    <w:rsid w:val="00F4464F"/>
    <w:rsid w:val="00F4521B"/>
    <w:rsid w:val="00F46745"/>
    <w:rsid w:val="00F50998"/>
    <w:rsid w:val="00F5187F"/>
    <w:rsid w:val="00F5341E"/>
    <w:rsid w:val="00F53C1A"/>
    <w:rsid w:val="00F54C22"/>
    <w:rsid w:val="00F55195"/>
    <w:rsid w:val="00F5734B"/>
    <w:rsid w:val="00F60A65"/>
    <w:rsid w:val="00F63A72"/>
    <w:rsid w:val="00F64A17"/>
    <w:rsid w:val="00F657C0"/>
    <w:rsid w:val="00F66059"/>
    <w:rsid w:val="00F67741"/>
    <w:rsid w:val="00F67887"/>
    <w:rsid w:val="00F67DA4"/>
    <w:rsid w:val="00F7418D"/>
    <w:rsid w:val="00F75F9D"/>
    <w:rsid w:val="00F76195"/>
    <w:rsid w:val="00F7762D"/>
    <w:rsid w:val="00F80C2B"/>
    <w:rsid w:val="00F83146"/>
    <w:rsid w:val="00F84839"/>
    <w:rsid w:val="00F8539F"/>
    <w:rsid w:val="00F85D4D"/>
    <w:rsid w:val="00F86B4A"/>
    <w:rsid w:val="00F87637"/>
    <w:rsid w:val="00F876DD"/>
    <w:rsid w:val="00F9055F"/>
    <w:rsid w:val="00F91D7D"/>
    <w:rsid w:val="00F92FA8"/>
    <w:rsid w:val="00F943F7"/>
    <w:rsid w:val="00F9491E"/>
    <w:rsid w:val="00F960F9"/>
    <w:rsid w:val="00F96558"/>
    <w:rsid w:val="00FA07C9"/>
    <w:rsid w:val="00FA086A"/>
    <w:rsid w:val="00FA0BEA"/>
    <w:rsid w:val="00FA23AB"/>
    <w:rsid w:val="00FA2CDB"/>
    <w:rsid w:val="00FA3938"/>
    <w:rsid w:val="00FA3BC3"/>
    <w:rsid w:val="00FA4276"/>
    <w:rsid w:val="00FA4F95"/>
    <w:rsid w:val="00FA643B"/>
    <w:rsid w:val="00FA6D14"/>
    <w:rsid w:val="00FA79AD"/>
    <w:rsid w:val="00FB0511"/>
    <w:rsid w:val="00FB2742"/>
    <w:rsid w:val="00FB4999"/>
    <w:rsid w:val="00FB518A"/>
    <w:rsid w:val="00FB6297"/>
    <w:rsid w:val="00FB641D"/>
    <w:rsid w:val="00FB69F1"/>
    <w:rsid w:val="00FB7BBF"/>
    <w:rsid w:val="00FC3166"/>
    <w:rsid w:val="00FC37FE"/>
    <w:rsid w:val="00FC3CA3"/>
    <w:rsid w:val="00FC40DA"/>
    <w:rsid w:val="00FC4208"/>
    <w:rsid w:val="00FC55F6"/>
    <w:rsid w:val="00FC7053"/>
    <w:rsid w:val="00FC793A"/>
    <w:rsid w:val="00FC79AC"/>
    <w:rsid w:val="00FC7AA3"/>
    <w:rsid w:val="00FD1325"/>
    <w:rsid w:val="00FD15E5"/>
    <w:rsid w:val="00FD1B68"/>
    <w:rsid w:val="00FD2802"/>
    <w:rsid w:val="00FD3F1A"/>
    <w:rsid w:val="00FD4774"/>
    <w:rsid w:val="00FD50F3"/>
    <w:rsid w:val="00FD579A"/>
    <w:rsid w:val="00FD58BA"/>
    <w:rsid w:val="00FD5E95"/>
    <w:rsid w:val="00FD78ED"/>
    <w:rsid w:val="00FE0972"/>
    <w:rsid w:val="00FE1336"/>
    <w:rsid w:val="00FE3842"/>
    <w:rsid w:val="00FE4568"/>
    <w:rsid w:val="00FE49DB"/>
    <w:rsid w:val="00FE6D9F"/>
    <w:rsid w:val="00FE6DA2"/>
    <w:rsid w:val="00FE7072"/>
    <w:rsid w:val="00FF0E86"/>
    <w:rsid w:val="00FF28D6"/>
    <w:rsid w:val="00FF3FDD"/>
    <w:rsid w:val="00FF45FD"/>
    <w:rsid w:val="00FF5B4F"/>
    <w:rsid w:val="00FF6E23"/>
    <w:rsid w:val="00FF79C9"/>
    <w:rsid w:val="00FF7CD8"/>
    <w:rsid w:val="0287426B"/>
    <w:rsid w:val="03A66FDA"/>
    <w:rsid w:val="03D37D3D"/>
    <w:rsid w:val="0616772D"/>
    <w:rsid w:val="067D59FE"/>
    <w:rsid w:val="0765096C"/>
    <w:rsid w:val="07D9074E"/>
    <w:rsid w:val="099F05CE"/>
    <w:rsid w:val="0ADD0687"/>
    <w:rsid w:val="0BF31113"/>
    <w:rsid w:val="0CF9167C"/>
    <w:rsid w:val="0EA224A6"/>
    <w:rsid w:val="0EE72544"/>
    <w:rsid w:val="10DD0B2A"/>
    <w:rsid w:val="130001E9"/>
    <w:rsid w:val="13382181"/>
    <w:rsid w:val="14540750"/>
    <w:rsid w:val="14CA1810"/>
    <w:rsid w:val="171E40A0"/>
    <w:rsid w:val="17AE3C6A"/>
    <w:rsid w:val="18616DB1"/>
    <w:rsid w:val="18AF2FBB"/>
    <w:rsid w:val="1A170803"/>
    <w:rsid w:val="1B211D53"/>
    <w:rsid w:val="1BD417C5"/>
    <w:rsid w:val="1D972C6E"/>
    <w:rsid w:val="1E5935A7"/>
    <w:rsid w:val="1F12526D"/>
    <w:rsid w:val="2049461B"/>
    <w:rsid w:val="2061167E"/>
    <w:rsid w:val="20784E15"/>
    <w:rsid w:val="210D3E9D"/>
    <w:rsid w:val="21A70779"/>
    <w:rsid w:val="21D721A7"/>
    <w:rsid w:val="22CD6F6E"/>
    <w:rsid w:val="292B5869"/>
    <w:rsid w:val="29604305"/>
    <w:rsid w:val="2A746468"/>
    <w:rsid w:val="2D03111D"/>
    <w:rsid w:val="2D4A1A48"/>
    <w:rsid w:val="2E2D512F"/>
    <w:rsid w:val="2EFF2BA5"/>
    <w:rsid w:val="2F1934E5"/>
    <w:rsid w:val="2F2B5748"/>
    <w:rsid w:val="304C1D62"/>
    <w:rsid w:val="30F15B27"/>
    <w:rsid w:val="310F1D3F"/>
    <w:rsid w:val="318C1DC4"/>
    <w:rsid w:val="32B31CDC"/>
    <w:rsid w:val="346440F6"/>
    <w:rsid w:val="35B01F67"/>
    <w:rsid w:val="35CD1E69"/>
    <w:rsid w:val="36D0430D"/>
    <w:rsid w:val="36E33356"/>
    <w:rsid w:val="398D12EA"/>
    <w:rsid w:val="3AA12093"/>
    <w:rsid w:val="3AC34AA3"/>
    <w:rsid w:val="3D9D4254"/>
    <w:rsid w:val="3F0D3A9A"/>
    <w:rsid w:val="4095711E"/>
    <w:rsid w:val="41076588"/>
    <w:rsid w:val="417521DF"/>
    <w:rsid w:val="437A0CBB"/>
    <w:rsid w:val="448B1A38"/>
    <w:rsid w:val="45134D49"/>
    <w:rsid w:val="451C070D"/>
    <w:rsid w:val="454B5719"/>
    <w:rsid w:val="46E969CB"/>
    <w:rsid w:val="480C00B0"/>
    <w:rsid w:val="48FC311D"/>
    <w:rsid w:val="49022255"/>
    <w:rsid w:val="4C307514"/>
    <w:rsid w:val="4C8A2740"/>
    <w:rsid w:val="4F4A1403"/>
    <w:rsid w:val="50723268"/>
    <w:rsid w:val="50993675"/>
    <w:rsid w:val="516F7396"/>
    <w:rsid w:val="53733181"/>
    <w:rsid w:val="54336CC9"/>
    <w:rsid w:val="5468737E"/>
    <w:rsid w:val="54BA1F79"/>
    <w:rsid w:val="54E179FE"/>
    <w:rsid w:val="550F7D3E"/>
    <w:rsid w:val="57B015CE"/>
    <w:rsid w:val="5857530A"/>
    <w:rsid w:val="592F676A"/>
    <w:rsid w:val="5A5459E6"/>
    <w:rsid w:val="5B0700B9"/>
    <w:rsid w:val="5BA748A4"/>
    <w:rsid w:val="5BD83DC6"/>
    <w:rsid w:val="5C1E180E"/>
    <w:rsid w:val="5DCF7ED4"/>
    <w:rsid w:val="5EC60170"/>
    <w:rsid w:val="60A04B4F"/>
    <w:rsid w:val="61797E0E"/>
    <w:rsid w:val="641E27AD"/>
    <w:rsid w:val="65114892"/>
    <w:rsid w:val="652F2822"/>
    <w:rsid w:val="65C903CE"/>
    <w:rsid w:val="663173B6"/>
    <w:rsid w:val="66B21CD0"/>
    <w:rsid w:val="670544F5"/>
    <w:rsid w:val="680F203E"/>
    <w:rsid w:val="699700E9"/>
    <w:rsid w:val="69DF102E"/>
    <w:rsid w:val="69EA2105"/>
    <w:rsid w:val="6BE63687"/>
    <w:rsid w:val="6C895281"/>
    <w:rsid w:val="6D12171A"/>
    <w:rsid w:val="6E303946"/>
    <w:rsid w:val="6F3C221E"/>
    <w:rsid w:val="6F6618A9"/>
    <w:rsid w:val="71504130"/>
    <w:rsid w:val="73465639"/>
    <w:rsid w:val="76256C60"/>
    <w:rsid w:val="77BC0E50"/>
    <w:rsid w:val="784705E1"/>
    <w:rsid w:val="79A74F98"/>
    <w:rsid w:val="7C4E580F"/>
    <w:rsid w:val="7D6F50DE"/>
    <w:rsid w:val="7EBD7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7"/>
    <w:unhideWhenUsed/>
    <w:qFormat/>
    <w:uiPriority w:val="99"/>
    <w:pPr>
      <w:jc w:val="left"/>
    </w:pPr>
  </w:style>
  <w:style w:type="paragraph" w:styleId="4">
    <w:name w:val="Body Text Indent"/>
    <w:basedOn w:val="1"/>
    <w:link w:val="23"/>
    <w:qFormat/>
    <w:uiPriority w:val="0"/>
    <w:pPr>
      <w:ind w:firstLine="555"/>
    </w:pPr>
    <w:rPr>
      <w:rFonts w:eastAsia="仿宋_GB2312"/>
      <w:szCs w:val="24"/>
    </w:rPr>
  </w:style>
  <w:style w:type="paragraph" w:styleId="5">
    <w:name w:val="Date"/>
    <w:basedOn w:val="1"/>
    <w:next w:val="1"/>
    <w:link w:val="24"/>
    <w:unhideWhenUsed/>
    <w:qFormat/>
    <w:uiPriority w:val="99"/>
    <w:pPr>
      <w:ind w:left="100" w:leftChars="2500"/>
    </w:pPr>
  </w:style>
  <w:style w:type="paragraph" w:styleId="6">
    <w:name w:val="Balloon Text"/>
    <w:basedOn w:val="1"/>
    <w:link w:val="28"/>
    <w:unhideWhenUsed/>
    <w:qFormat/>
    <w:uiPriority w:val="99"/>
    <w:rPr>
      <w:sz w:val="18"/>
      <w:szCs w:val="18"/>
    </w:rPr>
  </w:style>
  <w:style w:type="paragraph" w:styleId="7">
    <w:name w:val="footer"/>
    <w:basedOn w:val="1"/>
    <w:link w:val="30"/>
    <w:unhideWhenUsed/>
    <w:qFormat/>
    <w:uiPriority w:val="99"/>
    <w:pPr>
      <w:tabs>
        <w:tab w:val="center" w:pos="4153"/>
        <w:tab w:val="right" w:pos="8306"/>
      </w:tabs>
      <w:snapToGrid w:val="0"/>
      <w:jc w:val="left"/>
    </w:pPr>
    <w:rPr>
      <w:sz w:val="18"/>
      <w:szCs w:val="18"/>
    </w:rPr>
  </w:style>
  <w:style w:type="paragraph" w:styleId="8">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Subtitle"/>
    <w:basedOn w:val="1"/>
    <w:next w:val="1"/>
    <w:link w:val="41"/>
    <w:qFormat/>
    <w:uiPriority w:val="11"/>
    <w:pPr>
      <w:adjustRightInd w:val="0"/>
      <w:snapToGrid w:val="0"/>
      <w:ind w:firstLine="200" w:firstLineChars="200"/>
    </w:pPr>
    <w:rPr>
      <w:rFonts w:asciiTheme="majorHAnsi" w:hAnsiTheme="majorHAnsi" w:cstheme="majorBidi"/>
      <w:bCs/>
      <w:kern w:val="28"/>
      <w:szCs w:val="32"/>
    </w:rPr>
  </w:style>
  <w:style w:type="paragraph" w:styleId="11">
    <w:name w:val="toc 2"/>
    <w:basedOn w:val="1"/>
    <w:next w:val="1"/>
    <w:unhideWhenUsed/>
    <w:qFormat/>
    <w:uiPriority w:val="39"/>
    <w:pPr>
      <w:ind w:left="420" w:leftChars="200"/>
    </w:pPr>
  </w:style>
  <w:style w:type="paragraph" w:styleId="12">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3">
    <w:name w:val="Title"/>
    <w:basedOn w:val="1"/>
    <w:next w:val="1"/>
    <w:link w:val="42"/>
    <w:qFormat/>
    <w:uiPriority w:val="10"/>
    <w:pPr>
      <w:outlineLvl w:val="0"/>
    </w:pPr>
    <w:rPr>
      <w:rFonts w:ascii="黑体" w:eastAsia="黑体" w:hAnsiTheme="majorHAnsi" w:cstheme="majorBidi"/>
      <w:bCs/>
      <w:szCs w:val="32"/>
    </w:rPr>
  </w:style>
  <w:style w:type="paragraph" w:styleId="14">
    <w:name w:val="annotation subject"/>
    <w:basedOn w:val="3"/>
    <w:next w:val="3"/>
    <w:link w:val="26"/>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semiHidden/>
    <w:qFormat/>
    <w:uiPriority w:val="0"/>
    <w:rPr>
      <w:rFonts w:ascii="Times New Roman" w:hAnsi="Times New Roman" w:eastAsia="宋体"/>
      <w:sz w:val="18"/>
    </w:rPr>
  </w:style>
  <w:style w:type="character" w:styleId="19">
    <w:name w:val="Emphasis"/>
    <w:qFormat/>
    <w:uiPriority w:val="20"/>
    <w:rPr>
      <w:color w:val="CC0000"/>
    </w:rPr>
  </w:style>
  <w:style w:type="character" w:styleId="20">
    <w:name w:val="Hyperlink"/>
    <w:unhideWhenUsed/>
    <w:qFormat/>
    <w:uiPriority w:val="99"/>
    <w:rPr>
      <w:color w:val="0000FF"/>
      <w:u w:val="single"/>
    </w:rPr>
  </w:style>
  <w:style w:type="character" w:styleId="21">
    <w:name w:val="annotation reference"/>
    <w:unhideWhenUsed/>
    <w:qFormat/>
    <w:uiPriority w:val="99"/>
    <w:rPr>
      <w:sz w:val="21"/>
      <w:szCs w:val="21"/>
    </w:rPr>
  </w:style>
  <w:style w:type="character" w:styleId="22">
    <w:name w:val="HTML Cite"/>
    <w:unhideWhenUsed/>
    <w:qFormat/>
    <w:uiPriority w:val="99"/>
    <w:rPr>
      <w:color w:val="008000"/>
    </w:rPr>
  </w:style>
  <w:style w:type="character" w:customStyle="1" w:styleId="23">
    <w:name w:val="正文文本缩进 字符"/>
    <w:link w:val="4"/>
    <w:qFormat/>
    <w:uiPriority w:val="0"/>
    <w:rPr>
      <w:rFonts w:eastAsia="仿宋_GB2312"/>
      <w:kern w:val="2"/>
      <w:sz w:val="21"/>
      <w:szCs w:val="24"/>
    </w:rPr>
  </w:style>
  <w:style w:type="character" w:customStyle="1" w:styleId="24">
    <w:name w:val="日期 字符"/>
    <w:link w:val="5"/>
    <w:semiHidden/>
    <w:qFormat/>
    <w:uiPriority w:val="99"/>
    <w:rPr>
      <w:rFonts w:ascii="Times New Roman" w:hAnsi="Times New Roman"/>
      <w:kern w:val="2"/>
      <w:sz w:val="21"/>
    </w:rPr>
  </w:style>
  <w:style w:type="character" w:customStyle="1" w:styleId="25">
    <w:name w:val="页眉 字符"/>
    <w:link w:val="8"/>
    <w:qFormat/>
    <w:uiPriority w:val="99"/>
    <w:rPr>
      <w:rFonts w:ascii="Times New Roman" w:hAnsi="Times New Roman"/>
      <w:kern w:val="2"/>
      <w:sz w:val="18"/>
      <w:szCs w:val="18"/>
    </w:rPr>
  </w:style>
  <w:style w:type="character" w:customStyle="1" w:styleId="26">
    <w:name w:val="批注主题 字符"/>
    <w:link w:val="14"/>
    <w:semiHidden/>
    <w:qFormat/>
    <w:uiPriority w:val="99"/>
    <w:rPr>
      <w:rFonts w:ascii="Times New Roman" w:hAnsi="Times New Roman"/>
      <w:b/>
      <w:bCs/>
      <w:kern w:val="2"/>
      <w:sz w:val="21"/>
    </w:rPr>
  </w:style>
  <w:style w:type="character" w:customStyle="1" w:styleId="27">
    <w:name w:val="批注文字 字符"/>
    <w:link w:val="3"/>
    <w:semiHidden/>
    <w:qFormat/>
    <w:uiPriority w:val="99"/>
    <w:rPr>
      <w:rFonts w:ascii="Times New Roman" w:hAnsi="Times New Roman"/>
      <w:kern w:val="2"/>
      <w:sz w:val="21"/>
    </w:rPr>
  </w:style>
  <w:style w:type="character" w:customStyle="1" w:styleId="28">
    <w:name w:val="批注框文本 字符"/>
    <w:link w:val="6"/>
    <w:semiHidden/>
    <w:qFormat/>
    <w:uiPriority w:val="99"/>
    <w:rPr>
      <w:rFonts w:ascii="Times New Roman" w:hAnsi="Times New Roman"/>
      <w:kern w:val="2"/>
      <w:sz w:val="18"/>
      <w:szCs w:val="18"/>
    </w:rPr>
  </w:style>
  <w:style w:type="character" w:customStyle="1" w:styleId="29">
    <w:name w:val="未处理的提及1"/>
    <w:unhideWhenUsed/>
    <w:qFormat/>
    <w:uiPriority w:val="99"/>
    <w:rPr>
      <w:color w:val="808080"/>
      <w:shd w:val="clear" w:color="auto" w:fill="E6E6E6"/>
    </w:rPr>
  </w:style>
  <w:style w:type="character" w:customStyle="1" w:styleId="30">
    <w:name w:val="页脚 字符"/>
    <w:link w:val="7"/>
    <w:qFormat/>
    <w:uiPriority w:val="99"/>
    <w:rPr>
      <w:rFonts w:ascii="Times New Roman" w:hAnsi="Times New Roman"/>
      <w:kern w:val="2"/>
      <w:sz w:val="18"/>
      <w:szCs w:val="18"/>
    </w:rPr>
  </w:style>
  <w:style w:type="paragraph" w:customStyle="1" w:styleId="31">
    <w:name w:val="p0"/>
    <w:basedOn w:val="1"/>
    <w:qFormat/>
    <w:uiPriority w:val="99"/>
    <w:pPr>
      <w:widowControl/>
    </w:pPr>
    <w:rPr>
      <w:kern w:val="0"/>
      <w:szCs w:val="21"/>
    </w:rPr>
  </w:style>
  <w:style w:type="paragraph" w:customStyle="1" w:styleId="32">
    <w:name w:val="列表段落1"/>
    <w:basedOn w:val="1"/>
    <w:qFormat/>
    <w:uiPriority w:val="34"/>
    <w:pPr>
      <w:ind w:firstLine="420" w:firstLineChars="200"/>
    </w:pPr>
    <w:rPr>
      <w:rFonts w:ascii="Calibri" w:hAnsi="Calibri"/>
      <w:szCs w:val="22"/>
    </w:rPr>
  </w:style>
  <w:style w:type="paragraph" w:customStyle="1" w:styleId="33">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
    <w:name w:val="_Style 11"/>
    <w:basedOn w:val="1"/>
    <w:next w:val="32"/>
    <w:qFormat/>
    <w:uiPriority w:val="34"/>
    <w:pPr>
      <w:ind w:firstLine="420" w:firstLineChars="200"/>
    </w:pPr>
    <w:rPr>
      <w:rFonts w:ascii="Calibri" w:hAnsi="Calibri"/>
      <w:szCs w:val="22"/>
    </w:rPr>
  </w:style>
  <w:style w:type="paragraph" w:customStyle="1" w:styleId="35">
    <w:name w:val="1"/>
    <w:basedOn w:val="1"/>
    <w:next w:val="32"/>
    <w:qFormat/>
    <w:uiPriority w:val="34"/>
    <w:pPr>
      <w:ind w:firstLine="420" w:firstLineChars="200"/>
    </w:pPr>
    <w:rPr>
      <w:rFonts w:ascii="Calibri" w:hAnsi="Calibri"/>
      <w:szCs w:val="22"/>
    </w:rPr>
  </w:style>
  <w:style w:type="character" w:customStyle="1" w:styleId="36">
    <w:name w:val="标题 1 字符"/>
    <w:link w:val="2"/>
    <w:qFormat/>
    <w:uiPriority w:val="9"/>
    <w:rPr>
      <w:b/>
      <w:bCs/>
      <w:kern w:val="44"/>
      <w:sz w:val="44"/>
      <w:szCs w:val="44"/>
    </w:rPr>
  </w:style>
  <w:style w:type="paragraph" w:customStyle="1" w:styleId="37">
    <w:name w:val="TOC 标题1"/>
    <w:basedOn w:val="2"/>
    <w:next w:val="1"/>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38">
    <w:name w:val="修订1"/>
    <w:hidden/>
    <w:unhideWhenUsed/>
    <w:qFormat/>
    <w:uiPriority w:val="99"/>
    <w:rPr>
      <w:rFonts w:ascii="Times New Roman" w:hAnsi="Times New Roman" w:eastAsia="宋体" w:cs="Times New Roman"/>
      <w:kern w:val="2"/>
      <w:sz w:val="21"/>
      <w:lang w:val="en-US" w:eastAsia="zh-CN" w:bidi="ar-SA"/>
    </w:rPr>
  </w:style>
  <w:style w:type="paragraph" w:styleId="39">
    <w:name w:val="List Paragraph"/>
    <w:basedOn w:val="1"/>
    <w:qFormat/>
    <w:uiPriority w:val="34"/>
    <w:pPr>
      <w:ind w:firstLine="420" w:firstLineChars="200"/>
    </w:pPr>
  </w:style>
  <w:style w:type="paragraph" w:customStyle="1" w:styleId="40">
    <w:name w:val="修订2"/>
    <w:hidden/>
    <w:semiHidden/>
    <w:qFormat/>
    <w:uiPriority w:val="99"/>
    <w:rPr>
      <w:rFonts w:ascii="Times New Roman" w:hAnsi="Times New Roman" w:eastAsia="宋体" w:cs="Times New Roman"/>
      <w:kern w:val="2"/>
      <w:sz w:val="21"/>
      <w:lang w:val="en-US" w:eastAsia="zh-CN" w:bidi="ar-SA"/>
    </w:rPr>
  </w:style>
  <w:style w:type="character" w:customStyle="1" w:styleId="41">
    <w:name w:val="副标题 字符"/>
    <w:basedOn w:val="17"/>
    <w:link w:val="10"/>
    <w:qFormat/>
    <w:uiPriority w:val="11"/>
    <w:rPr>
      <w:rFonts w:asciiTheme="majorHAnsi" w:hAnsiTheme="majorHAnsi" w:cstheme="majorBidi"/>
      <w:bCs/>
      <w:kern w:val="28"/>
      <w:sz w:val="21"/>
      <w:szCs w:val="32"/>
    </w:rPr>
  </w:style>
  <w:style w:type="character" w:customStyle="1" w:styleId="42">
    <w:name w:val="标题 字符"/>
    <w:basedOn w:val="17"/>
    <w:link w:val="13"/>
    <w:qFormat/>
    <w:uiPriority w:val="10"/>
    <w:rPr>
      <w:rFonts w:ascii="黑体" w:eastAsia="黑体" w:hAnsiTheme="majorHAnsi" w:cstheme="majorBidi"/>
      <w:bCs/>
      <w:kern w:val="2"/>
      <w:sz w:val="21"/>
      <w:szCs w:val="32"/>
    </w:rPr>
  </w:style>
  <w:style w:type="paragraph" w:customStyle="1" w:styleId="43">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44">
    <w:name w:val="修订3"/>
    <w:hidden/>
    <w:semiHidden/>
    <w:qFormat/>
    <w:uiPriority w:val="99"/>
    <w:rPr>
      <w:rFonts w:ascii="Times New Roman" w:hAnsi="Times New Roman" w:eastAsia="宋体" w:cs="Times New Roman"/>
      <w:kern w:val="2"/>
      <w:sz w:val="21"/>
      <w:lang w:val="en-US" w:eastAsia="zh-CN" w:bidi="ar-SA"/>
    </w:rPr>
  </w:style>
  <w:style w:type="character" w:customStyle="1" w:styleId="45">
    <w:name w:val="apple-style-span"/>
    <w:qFormat/>
    <w:uiPriority w:val="0"/>
  </w:style>
  <w:style w:type="paragraph" w:customStyle="1" w:styleId="46">
    <w:name w:val="段"/>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47">
    <w:name w:val="标准文件_字母编号列项"/>
    <w:next w:val="1"/>
    <w:link w:val="48"/>
    <w:qFormat/>
    <w:uiPriority w:val="0"/>
    <w:pPr>
      <w:numPr>
        <w:ilvl w:val="0"/>
        <w:numId w:val="1"/>
      </w:numPr>
      <w:adjustRightInd w:val="0"/>
      <w:snapToGrid w:val="0"/>
      <w:spacing w:line="300" w:lineRule="auto"/>
      <w:jc w:val="both"/>
    </w:pPr>
    <w:rPr>
      <w:rFonts w:ascii="宋体" w:hAnsi="宋体" w:eastAsia="宋体" w:cs="Times New Roman"/>
      <w:bCs/>
      <w:snapToGrid w:val="0"/>
      <w:color w:val="000000"/>
      <w:sz w:val="28"/>
      <w:szCs w:val="28"/>
      <w:lang w:val="en-US" w:eastAsia="zh-CN" w:bidi="ar-SA"/>
    </w:rPr>
  </w:style>
  <w:style w:type="character" w:customStyle="1" w:styleId="48">
    <w:name w:val="标准文件_字母编号列项 Char"/>
    <w:link w:val="47"/>
    <w:qFormat/>
    <w:locked/>
    <w:uiPriority w:val="0"/>
    <w:rPr>
      <w:rFonts w:ascii="宋体" w:hAnsi="宋体"/>
      <w:bCs/>
      <w:snapToGrid w:val="0"/>
      <w:color w:val="000000"/>
      <w:sz w:val="28"/>
      <w:szCs w:val="28"/>
    </w:rPr>
  </w:style>
  <w:style w:type="paragraph" w:customStyle="1" w:styleId="49">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5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Arial" w:hAnsi="Arial" w:eastAsia="黑体" w:cs="Times New Roman"/>
      <w:kern w:val="2"/>
      <w:sz w:val="52"/>
      <w:szCs w:val="32"/>
      <w:lang w:val="en-US" w:eastAsia="zh-CN" w:bidi="ar-SA"/>
    </w:rPr>
  </w:style>
  <w:style w:type="paragraph" w:customStyle="1" w:styleId="51">
    <w:name w:val="封面标准英文名称"/>
    <w:qFormat/>
    <w:uiPriority w:val="0"/>
    <w:pPr>
      <w:widowControl w:val="0"/>
      <w:spacing w:before="370" w:line="400" w:lineRule="exact"/>
      <w:jc w:val="center"/>
    </w:pPr>
    <w:rPr>
      <w:rFonts w:ascii="Arial" w:hAnsi="Arial" w:eastAsia="宋体" w:cs="Times New Roman"/>
      <w:kern w:val="2"/>
      <w:sz w:val="28"/>
      <w:szCs w:val="32"/>
      <w:lang w:val="en-US" w:eastAsia="zh-CN" w:bidi="ar-SA"/>
    </w:rPr>
  </w:style>
  <w:style w:type="paragraph" w:customStyle="1" w:styleId="52">
    <w:name w:val="标准书脚_奇数页"/>
    <w:qFormat/>
    <w:uiPriority w:val="0"/>
    <w:pPr>
      <w:spacing w:before="120"/>
      <w:jc w:val="right"/>
    </w:pPr>
    <w:rPr>
      <w:rFonts w:ascii="Arial" w:hAnsi="Arial" w:eastAsia="宋体" w:cs="Times New Roman"/>
      <w:kern w:val="2"/>
      <w:sz w:val="18"/>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9400C3-8BFA-4D2B-9FEF-F62054AFB2EE}">
  <ds:schemaRefs/>
</ds:datastoreItem>
</file>

<file path=docProps/app.xml><?xml version="1.0" encoding="utf-8"?>
<Properties xmlns="http://schemas.openxmlformats.org/officeDocument/2006/extended-properties" xmlns:vt="http://schemas.openxmlformats.org/officeDocument/2006/docPropsVTypes">
  <Template>Normal.dotm</Template>
  <Company>zz</Company>
  <Pages>30</Pages>
  <Words>2121</Words>
  <Characters>12096</Characters>
  <Lines>100</Lines>
  <Paragraphs>28</Paragraphs>
  <TotalTime>1</TotalTime>
  <ScaleCrop>false</ScaleCrop>
  <LinksUpToDate>false</LinksUpToDate>
  <CharactersWithSpaces>14189</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2025-06-06T03:51:00Z</dcterms:created>
  <dc:creator>thinkpad</dc:creator>
  <cp:lastModifiedBy>h7170fyjn</cp:lastModifiedBy>
  <cp:lastPrinted>2019-11-12T00:07:00Z</cp:lastPrinted>
  <dcterms:modified xsi:type="dcterms:W3CDTF">2025-08-12T01:02:07Z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6556271F7BFB4D939A9F68D4D1B27ED8</vt:lpwstr>
  </property>
</Properties>
</file>